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3D6150" w:rsidRDefault="000B42C1" w:rsidP="003D6150">
      <w:pPr>
        <w:spacing w:after="240" w:line="276" w:lineRule="auto"/>
        <w:ind w:left="426" w:hanging="426"/>
        <w:jc w:val="right"/>
        <w:rPr>
          <w:b/>
          <w:bCs/>
          <w:szCs w:val="24"/>
        </w:rPr>
      </w:pPr>
      <w:r>
        <w:rPr>
          <w:b/>
          <w:bCs/>
          <w:szCs w:val="24"/>
        </w:rPr>
        <w:t>«</w:t>
      </w:r>
      <w:r w:rsidR="002208FB">
        <w:rPr>
          <w:b/>
          <w:bCs/>
          <w:szCs w:val="24"/>
        </w:rPr>
        <w:t>11</w:t>
      </w:r>
      <w:r w:rsidR="003D6150">
        <w:rPr>
          <w:b/>
          <w:bCs/>
          <w:szCs w:val="24"/>
        </w:rPr>
        <w:t xml:space="preserve">» </w:t>
      </w:r>
      <w:r w:rsidR="00D03A8D">
        <w:rPr>
          <w:b/>
          <w:bCs/>
          <w:szCs w:val="24"/>
        </w:rPr>
        <w:t>февраля</w:t>
      </w:r>
      <w:r w:rsidR="008E6359">
        <w:rPr>
          <w:b/>
          <w:bCs/>
          <w:szCs w:val="24"/>
        </w:rPr>
        <w:t xml:space="preserve"> </w:t>
      </w:r>
      <w:r w:rsidR="00C22028">
        <w:rPr>
          <w:b/>
          <w:bCs/>
          <w:szCs w:val="24"/>
        </w:rPr>
        <w:t>2025</w:t>
      </w:r>
      <w:r w:rsidR="003D6150">
        <w:rPr>
          <w:b/>
          <w:bCs/>
          <w:szCs w:val="24"/>
        </w:rPr>
        <w:t>г</w:t>
      </w:r>
      <w:r w:rsidR="005578CF">
        <w:rPr>
          <w:b/>
          <w:bCs/>
          <w:szCs w:val="24"/>
        </w:rPr>
        <w:t>.</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D67BB0">
        <w:rPr>
          <w:b/>
          <w:szCs w:val="24"/>
        </w:rPr>
        <w:t>20</w:t>
      </w:r>
      <w:r w:rsidR="00C22028">
        <w:rPr>
          <w:b/>
          <w:szCs w:val="24"/>
        </w:rPr>
        <w:t>-ЭА/25</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w:t>
      </w:r>
      <w:r w:rsidR="00C22028">
        <w:rPr>
          <w:b/>
          <w:szCs w:val="24"/>
        </w:rPr>
        <w:t xml:space="preserve">строительного подряда </w:t>
      </w:r>
      <w:r w:rsidRPr="00767BDD">
        <w:rPr>
          <w:b/>
          <w:szCs w:val="24"/>
        </w:rPr>
        <w:t xml:space="preserve">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C22028">
        <w:rPr>
          <w:b/>
          <w:szCs w:val="24"/>
        </w:rPr>
        <w:t>2025</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2208FB">
            <w:pPr>
              <w:widowControl w:val="0"/>
              <w:autoSpaceDE w:val="0"/>
              <w:autoSpaceDN w:val="0"/>
              <w:adjustRightInd w:val="0"/>
              <w:jc w:val="both"/>
              <w:rPr>
                <w:szCs w:val="24"/>
              </w:rPr>
            </w:pPr>
            <w:r w:rsidRPr="00767BDD">
              <w:rPr>
                <w:b/>
                <w:szCs w:val="24"/>
              </w:rPr>
              <w:t>№</w:t>
            </w:r>
            <w:r w:rsidR="00D67BB0">
              <w:rPr>
                <w:b/>
                <w:szCs w:val="24"/>
              </w:rPr>
              <w:t>20</w:t>
            </w:r>
            <w:r w:rsidR="00882890">
              <w:rPr>
                <w:b/>
                <w:szCs w:val="24"/>
              </w:rPr>
              <w:t>-ЭА/</w:t>
            </w:r>
            <w:r w:rsidR="00B2305F">
              <w:rPr>
                <w:b/>
                <w:szCs w:val="24"/>
              </w:rPr>
              <w:t>2</w:t>
            </w:r>
            <w:r w:rsidR="00C22028">
              <w:rPr>
                <w:b/>
                <w:szCs w:val="24"/>
              </w:rPr>
              <w:t>5</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C22028">
              <w:rPr>
                <w:b/>
              </w:rPr>
              <w:t>«</w:t>
            </w:r>
            <w:r w:rsidR="002208FB">
              <w:rPr>
                <w:b/>
              </w:rPr>
              <w:t>12</w:t>
            </w:r>
            <w:r w:rsidR="00971BD2" w:rsidRPr="00971BD2">
              <w:rPr>
                <w:b/>
              </w:rPr>
              <w:t xml:space="preserve">» </w:t>
            </w:r>
            <w:r w:rsidR="00C22028">
              <w:rPr>
                <w:b/>
              </w:rPr>
              <w:t>февраля</w:t>
            </w:r>
            <w:r w:rsidR="00971BD2" w:rsidRPr="00971BD2">
              <w:rPr>
                <w:b/>
              </w:rPr>
              <w:t xml:space="preserve"> </w:t>
            </w:r>
            <w:r w:rsidR="00C22028">
              <w:rPr>
                <w:b/>
              </w:rPr>
              <w:t>2025</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C22028">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2208FB">
              <w:rPr>
                <w:b/>
                <w:szCs w:val="24"/>
              </w:rPr>
              <w:t>«2</w:t>
            </w:r>
            <w:r w:rsidR="00C22028">
              <w:rPr>
                <w:b/>
                <w:szCs w:val="24"/>
              </w:rPr>
              <w:t>1</w:t>
            </w:r>
            <w:r w:rsidR="00971BD2" w:rsidRPr="00971BD2">
              <w:rPr>
                <w:b/>
                <w:szCs w:val="24"/>
              </w:rPr>
              <w:t xml:space="preserve">» </w:t>
            </w:r>
            <w:r w:rsidR="00C22028" w:rsidRPr="00C22028">
              <w:rPr>
                <w:b/>
                <w:szCs w:val="24"/>
              </w:rPr>
              <w:t>февраля</w:t>
            </w:r>
            <w:r w:rsidR="00971BD2" w:rsidRPr="00971BD2">
              <w:rPr>
                <w:b/>
                <w:szCs w:val="24"/>
              </w:rPr>
              <w:t xml:space="preserve"> </w:t>
            </w:r>
            <w:r w:rsidR="00C22028">
              <w:rPr>
                <w:b/>
              </w:rPr>
              <w:t>2025</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6E44A4" w:rsidP="002208FB">
            <w:pPr>
              <w:spacing w:line="259" w:lineRule="auto"/>
              <w:contextualSpacing/>
              <w:jc w:val="both"/>
              <w:rPr>
                <w:szCs w:val="24"/>
              </w:rPr>
            </w:pPr>
            <w:r w:rsidRPr="00530822">
              <w:rPr>
                <w:szCs w:val="24"/>
              </w:rPr>
              <w:t>с 09 часо</w:t>
            </w:r>
            <w:r w:rsidR="00570BB6">
              <w:rPr>
                <w:szCs w:val="24"/>
              </w:rPr>
              <w:t>в 00 мин. (время московское</w:t>
            </w:r>
            <w:r w:rsidR="00570BB6" w:rsidRPr="000E1D66">
              <w:rPr>
                <w:szCs w:val="24"/>
              </w:rPr>
              <w:t xml:space="preserve">) </w:t>
            </w:r>
            <w:r w:rsidR="00C22028" w:rsidRPr="00C22028">
              <w:t>«</w:t>
            </w:r>
            <w:r w:rsidR="002208FB">
              <w:t>12</w:t>
            </w:r>
            <w:r w:rsidR="00C22028" w:rsidRPr="00C22028">
              <w:t xml:space="preserve">» февраля </w:t>
            </w:r>
            <w:r w:rsidR="00C22028">
              <w:rPr>
                <w:szCs w:val="24"/>
              </w:rPr>
              <w:t>2025</w:t>
            </w:r>
            <w:r w:rsidRPr="00530822">
              <w:rPr>
                <w:szCs w:val="24"/>
              </w:rPr>
              <w:t xml:space="preserve"> года до 23 часо</w:t>
            </w:r>
            <w:r w:rsidR="00570BB6">
              <w:rPr>
                <w:szCs w:val="24"/>
              </w:rPr>
              <w:t xml:space="preserve">в 59 мин. (время московское) </w:t>
            </w:r>
            <w:r w:rsidR="00C22028">
              <w:t>«</w:t>
            </w:r>
            <w:r w:rsidR="002208FB">
              <w:t>19</w:t>
            </w:r>
            <w:r w:rsidR="00C22028" w:rsidRPr="00C22028">
              <w:t xml:space="preserve">» февраля </w:t>
            </w:r>
            <w:r w:rsidR="00C22028">
              <w:rPr>
                <w:szCs w:val="24"/>
              </w:rPr>
              <w:t>2025</w:t>
            </w:r>
            <w:r w:rsidRPr="00530822">
              <w:rPr>
                <w:szCs w:val="24"/>
              </w:rPr>
              <w:t xml:space="preserve">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C22028" w:rsidP="002208FB">
            <w:pPr>
              <w:jc w:val="both"/>
              <w:rPr>
                <w:b/>
                <w:szCs w:val="24"/>
              </w:rPr>
            </w:pPr>
            <w:r w:rsidRPr="00C22028">
              <w:rPr>
                <w:b/>
              </w:rPr>
              <w:t xml:space="preserve"> «</w:t>
            </w:r>
            <w:r w:rsidR="002208FB">
              <w:rPr>
                <w:b/>
              </w:rPr>
              <w:t>21</w:t>
            </w:r>
            <w:r w:rsidRPr="00C22028">
              <w:rPr>
                <w:b/>
              </w:rPr>
              <w:t xml:space="preserve">» февраля </w:t>
            </w:r>
            <w:r>
              <w:rPr>
                <w:b/>
              </w:rPr>
              <w:t>2025</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2208FB" w:rsidP="00D03A8D">
            <w:pPr>
              <w:jc w:val="both"/>
              <w:rPr>
                <w:szCs w:val="24"/>
              </w:rPr>
            </w:pPr>
            <w:r>
              <w:rPr>
                <w:b/>
              </w:rPr>
              <w:t xml:space="preserve"> «2</w:t>
            </w:r>
            <w:r w:rsidR="00C22028">
              <w:rPr>
                <w:b/>
              </w:rPr>
              <w:t>4</w:t>
            </w:r>
            <w:r w:rsidR="00C22028" w:rsidRPr="00C22028">
              <w:rPr>
                <w:b/>
              </w:rPr>
              <w:t xml:space="preserve">» февраля </w:t>
            </w:r>
            <w:r w:rsidR="00C22028">
              <w:rPr>
                <w:b/>
              </w:rPr>
              <w:t>2025</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0E1D66">
              <w:rPr>
                <w:bCs/>
                <w:szCs w:val="24"/>
              </w:rPr>
              <w:t>согласно календарному графику</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D67BB0" w:rsidP="00D67BB0">
            <w:pPr>
              <w:jc w:val="both"/>
              <w:rPr>
                <w:bCs/>
                <w:szCs w:val="24"/>
              </w:rPr>
            </w:pPr>
            <w:r>
              <w:rPr>
                <w:rFonts w:eastAsia="Calibri"/>
                <w:b/>
                <w:bCs/>
                <w:kern w:val="1"/>
                <w:szCs w:val="22"/>
                <w:lang w:eastAsia="ar-SA"/>
              </w:rPr>
              <w:t>7 804 715,26</w:t>
            </w:r>
            <w:r w:rsidR="000E1D66">
              <w:rPr>
                <w:b/>
                <w:bCs/>
                <w:szCs w:val="24"/>
              </w:rPr>
              <w:t xml:space="preserve"> </w:t>
            </w:r>
            <w:r w:rsidR="00553F33">
              <w:rPr>
                <w:b/>
                <w:bCs/>
                <w:szCs w:val="24"/>
              </w:rPr>
              <w:t>(</w:t>
            </w:r>
            <w:r>
              <w:rPr>
                <w:bCs/>
                <w:szCs w:val="24"/>
              </w:rPr>
              <w:t>Семь миллионов восемьсот четыре тысячи семьсот пятнадцать</w:t>
            </w:r>
            <w:r w:rsidR="00570BB6">
              <w:rPr>
                <w:bCs/>
                <w:szCs w:val="24"/>
              </w:rPr>
              <w:t>) рубл</w:t>
            </w:r>
            <w:r w:rsidR="008E5905">
              <w:rPr>
                <w:bCs/>
                <w:szCs w:val="24"/>
              </w:rPr>
              <w:t>ей</w:t>
            </w:r>
            <w:r w:rsidR="001E0BA1">
              <w:rPr>
                <w:bCs/>
                <w:szCs w:val="24"/>
              </w:rPr>
              <w:t xml:space="preserve"> </w:t>
            </w:r>
            <w:r>
              <w:rPr>
                <w:bCs/>
                <w:szCs w:val="24"/>
              </w:rPr>
              <w:t>2</w:t>
            </w:r>
            <w:r w:rsidR="002208FB">
              <w:rPr>
                <w:bCs/>
                <w:szCs w:val="24"/>
              </w:rPr>
              <w:t>6</w:t>
            </w:r>
            <w:r w:rsidR="008835C2">
              <w:rPr>
                <w:bCs/>
                <w:szCs w:val="24"/>
              </w:rPr>
              <w:t xml:space="preserve"> (</w:t>
            </w:r>
            <w:r>
              <w:rPr>
                <w:bCs/>
                <w:szCs w:val="24"/>
              </w:rPr>
              <w:t>двадцать</w:t>
            </w:r>
            <w:r w:rsidR="002208FB">
              <w:rPr>
                <w:bCs/>
                <w:szCs w:val="24"/>
              </w:rPr>
              <w:t xml:space="preserve"> шесть</w:t>
            </w:r>
            <w:r w:rsidR="000724DA" w:rsidRPr="000724DA">
              <w:rPr>
                <w:bCs/>
                <w:szCs w:val="24"/>
              </w:rPr>
              <w:t>) копе</w:t>
            </w:r>
            <w:r w:rsidR="002208FB">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D67BB0">
              <w:rPr>
                <w:b/>
                <w:szCs w:val="24"/>
              </w:rPr>
              <w:t>78 047,15</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 xml:space="preserve">Размер обеспечения исполнения обязательств по договору составляет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D67BB0">
              <w:rPr>
                <w:b/>
                <w:bCs/>
                <w:szCs w:val="24"/>
              </w:rPr>
              <w:t>1 951 178,82</w:t>
            </w:r>
            <w:r w:rsidR="003F543D">
              <w:rPr>
                <w:b/>
                <w:bCs/>
                <w:szCs w:val="24"/>
              </w:rPr>
              <w:t xml:space="preserve"> </w:t>
            </w:r>
            <w:r w:rsidR="00234ECA">
              <w:rPr>
                <w:b/>
                <w:bCs/>
                <w:szCs w:val="24"/>
              </w:rPr>
              <w:t>(</w:t>
            </w:r>
            <w:r w:rsidR="00D67BB0">
              <w:rPr>
                <w:bCs/>
                <w:szCs w:val="24"/>
              </w:rPr>
              <w:t>Один миллион девятьсот пятьдесят одна тысяча сто семьдесят восемь рублей</w:t>
            </w:r>
            <w:r w:rsidR="001E0BA1">
              <w:rPr>
                <w:bCs/>
                <w:szCs w:val="24"/>
              </w:rPr>
              <w:t xml:space="preserve">, </w:t>
            </w:r>
            <w:r w:rsidR="00D67BB0">
              <w:rPr>
                <w:bCs/>
                <w:szCs w:val="24"/>
              </w:rPr>
              <w:t>82</w:t>
            </w:r>
            <w:r w:rsidR="002208FB">
              <w:rPr>
                <w:bCs/>
                <w:szCs w:val="24"/>
              </w:rPr>
              <w:t xml:space="preserve"> </w:t>
            </w:r>
            <w:r w:rsidR="000724DA" w:rsidRPr="000724DA">
              <w:rPr>
                <w:bCs/>
                <w:szCs w:val="24"/>
              </w:rPr>
              <w:t>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 xml:space="preserve">иже начальной (максимальной) цены договора, договор заключается только </w:t>
            </w:r>
            <w:bookmarkStart w:id="24" w:name="_GoBack"/>
            <w:bookmarkEnd w:id="24"/>
            <w:r w:rsidRPr="00123D51">
              <w:rPr>
                <w:szCs w:val="24"/>
              </w:rPr>
              <w:t>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08FB"/>
    <w:rsid w:val="0022151B"/>
    <w:rsid w:val="002235A7"/>
    <w:rsid w:val="00223A35"/>
    <w:rsid w:val="00223F40"/>
    <w:rsid w:val="00223FE7"/>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1C89"/>
    <w:rsid w:val="00342A2E"/>
    <w:rsid w:val="003437D5"/>
    <w:rsid w:val="00344435"/>
    <w:rsid w:val="00345206"/>
    <w:rsid w:val="003456A6"/>
    <w:rsid w:val="003456AA"/>
    <w:rsid w:val="00346083"/>
    <w:rsid w:val="003468F2"/>
    <w:rsid w:val="00346D4E"/>
    <w:rsid w:val="00347457"/>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5905"/>
    <w:rsid w:val="008E6359"/>
    <w:rsid w:val="008E69F6"/>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1BD2"/>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02F"/>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028"/>
    <w:rsid w:val="00C22BF9"/>
    <w:rsid w:val="00C235EC"/>
    <w:rsid w:val="00C23761"/>
    <w:rsid w:val="00C2542C"/>
    <w:rsid w:val="00C25B85"/>
    <w:rsid w:val="00C30658"/>
    <w:rsid w:val="00C309B2"/>
    <w:rsid w:val="00C30B3B"/>
    <w:rsid w:val="00C30C0A"/>
    <w:rsid w:val="00C31B4B"/>
    <w:rsid w:val="00C31EF5"/>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BB0"/>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DE87D2-DC9E-4D7B-B677-AB7E20C3CB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5143</TotalTime>
  <Pages>19</Pages>
  <Words>6824</Words>
  <Characters>48989</Characters>
  <Application>Microsoft Office Word</Application>
  <DocSecurity>0</DocSecurity>
  <Lines>408</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73</cp:revision>
  <cp:lastPrinted>2021-09-21T07:12:00Z</cp:lastPrinted>
  <dcterms:created xsi:type="dcterms:W3CDTF">2022-07-13T08:25:00Z</dcterms:created>
  <dcterms:modified xsi:type="dcterms:W3CDTF">2025-02-11T08:16:00Z</dcterms:modified>
</cp:coreProperties>
</file>