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D59EC" w:rsidRDefault="00DD2B3D"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 xml:space="preserve">г. Нальчик, ул. </w:t>
      </w:r>
      <w:r w:rsidR="00FD59EC">
        <w:rPr>
          <w:rFonts w:ascii="Times New Roman" w:eastAsia="Calibri" w:hAnsi="Times New Roman" w:cs="Times New Roman"/>
        </w:rPr>
        <w:t>Электроподстанция, 1.</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FD59EC" w:rsidRDefault="00075B68" w:rsidP="00FD59EC">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FD59EC" w:rsidRPr="00EA3A4C">
              <w:rPr>
                <w:b/>
                <w:u w:val="single"/>
              </w:rPr>
              <w:t>Кабардино-Б</w:t>
            </w:r>
            <w:r w:rsidR="00FD59EC">
              <w:rPr>
                <w:b/>
                <w:u w:val="single"/>
              </w:rPr>
              <w:t>алкарская Республика,</w:t>
            </w:r>
            <w:r w:rsidR="00FD59EC" w:rsidRPr="00486D0A">
              <w:rPr>
                <w:b/>
                <w:u w:val="single"/>
              </w:rPr>
              <w:t xml:space="preserve"> </w:t>
            </w:r>
            <w:r w:rsidR="00FD59EC" w:rsidRPr="00486D0A">
              <w:rPr>
                <w:rFonts w:eastAsia="Calibri"/>
                <w:b/>
              </w:rPr>
              <w:t>г. Нальчик, ул. Электроподстанция,1;</w:t>
            </w:r>
          </w:p>
          <w:p w:rsidR="00FD59EC" w:rsidRPr="00EA3A4C" w:rsidRDefault="00FD59EC" w:rsidP="00FD59EC">
            <w:pPr>
              <w:tabs>
                <w:tab w:val="left" w:pos="622"/>
              </w:tabs>
              <w:autoSpaceDE w:val="0"/>
              <w:autoSpaceDN w:val="0"/>
              <w:adjustRightInd w:val="0"/>
              <w:ind w:left="33" w:right="-2"/>
            </w:pPr>
            <w:r w:rsidRPr="00EA3A4C">
              <w:t>Год постройки - 19</w:t>
            </w:r>
            <w:r>
              <w:t>65</w:t>
            </w:r>
          </w:p>
          <w:p w:rsidR="00FD59EC" w:rsidRDefault="00FD59EC" w:rsidP="00FD59EC">
            <w:pPr>
              <w:tabs>
                <w:tab w:val="left" w:pos="622"/>
              </w:tabs>
              <w:autoSpaceDE w:val="0"/>
              <w:autoSpaceDN w:val="0"/>
              <w:adjustRightInd w:val="0"/>
              <w:ind w:left="33" w:right="-2"/>
            </w:pPr>
            <w:r w:rsidRPr="00EA3A4C">
              <w:t xml:space="preserve">Количество этажей </w:t>
            </w:r>
            <w:r>
              <w:t>–</w:t>
            </w:r>
            <w:r w:rsidRPr="00EA3A4C">
              <w:t xml:space="preserve"> </w:t>
            </w:r>
            <w:r>
              <w:t>3</w:t>
            </w:r>
          </w:p>
          <w:p w:rsidR="00FD59EC" w:rsidRDefault="00FD59EC" w:rsidP="00FD59EC">
            <w:pPr>
              <w:tabs>
                <w:tab w:val="left" w:pos="622"/>
              </w:tabs>
              <w:autoSpaceDE w:val="0"/>
              <w:autoSpaceDN w:val="0"/>
              <w:adjustRightInd w:val="0"/>
              <w:ind w:left="33" w:right="-2"/>
            </w:pPr>
            <w:r>
              <w:t>Количество подъездов - 1</w:t>
            </w:r>
          </w:p>
          <w:p w:rsidR="00FD59EC" w:rsidRDefault="00FD59EC" w:rsidP="00FD59EC">
            <w:pPr>
              <w:tabs>
                <w:tab w:val="left" w:pos="622"/>
              </w:tabs>
              <w:autoSpaceDE w:val="0"/>
              <w:autoSpaceDN w:val="0"/>
              <w:adjustRightInd w:val="0"/>
              <w:ind w:left="33" w:right="-2"/>
              <w:rPr>
                <w:rFonts w:eastAsia="Calibri"/>
              </w:rPr>
            </w:pPr>
            <w:r w:rsidRPr="00EA3A4C">
              <w:t xml:space="preserve">Наружные стены </w:t>
            </w:r>
            <w:r w:rsidRPr="00417C61">
              <w:t xml:space="preserve">– </w:t>
            </w:r>
            <w:r>
              <w:t>кирпич</w:t>
            </w:r>
            <w:r w:rsidRPr="00417C61">
              <w:t>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w:t>
            </w:r>
            <w:r w:rsidR="00FD59EC">
              <w:rPr>
                <w:rFonts w:eastAsia="Calibri"/>
              </w:rPr>
              <w:t>ул.</w:t>
            </w:r>
            <w:r w:rsidR="00FD59EC">
              <w:rPr>
                <w:rFonts w:eastAsia="Calibri"/>
              </w:rPr>
              <w:t xml:space="preserve"> </w:t>
            </w:r>
            <w:r w:rsidR="00FD59EC">
              <w:rPr>
                <w:rFonts w:eastAsia="Calibri"/>
              </w:rPr>
              <w:t>Электроподстанция, 1</w:t>
            </w:r>
          </w:p>
        </w:tc>
        <w:tc>
          <w:tcPr>
            <w:tcW w:w="1846" w:type="dxa"/>
            <w:tcBorders>
              <w:top w:val="single" w:sz="2" w:space="0" w:color="auto"/>
            </w:tcBorders>
            <w:shd w:val="clear" w:color="auto" w:fill="auto"/>
            <w:vAlign w:val="center"/>
          </w:tcPr>
          <w:p w:rsidR="00CE638A" w:rsidRPr="00393666" w:rsidRDefault="00FD59E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4 625 117,75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FD59E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D59EC">
              <w:rPr>
                <w:rFonts w:eastAsia="Calibri"/>
                <w:b/>
                <w:bCs/>
                <w:kern w:val="1"/>
                <w:szCs w:val="22"/>
                <w:lang w:eastAsia="ar-SA"/>
              </w:rPr>
              <w:t>4 625 117,75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FD59EC">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FD59EC">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w:t>
            </w:r>
            <w:r w:rsidR="00075B68">
              <w:rPr>
                <w:rFonts w:eastAsia="Calibri"/>
              </w:rPr>
              <w:t xml:space="preserve"> Нальчик, </w:t>
            </w:r>
            <w:r w:rsidR="00601DEE" w:rsidRPr="00601DEE">
              <w:rPr>
                <w:rFonts w:eastAsia="Calibri"/>
              </w:rPr>
              <w:t>ул. Лермонтова, д.16</w:t>
            </w:r>
          </w:p>
        </w:tc>
        <w:tc>
          <w:tcPr>
            <w:tcW w:w="1596" w:type="dxa"/>
            <w:tcBorders>
              <w:top w:val="single" w:sz="2" w:space="0" w:color="auto"/>
            </w:tcBorders>
            <w:shd w:val="clear" w:color="auto" w:fill="auto"/>
            <w:vAlign w:val="center"/>
          </w:tcPr>
          <w:p w:rsidR="006E6E88" w:rsidRPr="00393666" w:rsidRDefault="00FD59E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4 625 117,75</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FD59EC" w:rsidP="006E6E88">
            <w:pPr>
              <w:spacing w:before="100" w:beforeAutospacing="1" w:after="100" w:afterAutospacing="1"/>
              <w:contextualSpacing/>
              <w:jc w:val="center"/>
              <w:rPr>
                <w:sz w:val="22"/>
                <w:szCs w:val="22"/>
                <w:lang w:eastAsia="en-US"/>
              </w:rPr>
            </w:pPr>
            <w:r>
              <w:rPr>
                <w:sz w:val="22"/>
                <w:szCs w:val="22"/>
                <w:lang w:eastAsia="en-US"/>
              </w:rPr>
              <w:t>58</w:t>
            </w:r>
          </w:p>
        </w:tc>
      </w:tr>
      <w:tr w:rsidR="006E6E88" w:rsidTr="00FD59EC">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FD59EC" w:rsidP="006E6E88">
            <w:pPr>
              <w:spacing w:before="100" w:beforeAutospacing="1" w:after="100" w:afterAutospacing="1"/>
              <w:contextualSpacing/>
              <w:jc w:val="center"/>
              <w:rPr>
                <w:b/>
                <w:sz w:val="22"/>
                <w:szCs w:val="22"/>
                <w:highlight w:val="yellow"/>
                <w:lang w:eastAsia="en-US"/>
              </w:rPr>
            </w:pPr>
            <w:r w:rsidRPr="00FD59EC">
              <w:rPr>
                <w:rFonts w:eastAsia="Calibri"/>
                <w:b/>
                <w:bCs/>
                <w:kern w:val="1"/>
                <w:szCs w:val="22"/>
                <w:lang w:eastAsia="ar-SA"/>
              </w:rPr>
              <w:t>4 625 117,75</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FD59EC"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p>
    <w:p w:rsidR="00FD59EC" w:rsidRDefault="00FD59EC" w:rsidP="00E02BA3">
      <w:pPr>
        <w:spacing w:before="100" w:beforeAutospacing="1" w:after="100" w:afterAutospacing="1"/>
        <w:contextualSpacing/>
        <w:rPr>
          <w:b/>
          <w:sz w:val="22"/>
          <w:szCs w:val="22"/>
          <w:u w:val="single"/>
        </w:rPr>
      </w:pPr>
      <w:bookmarkStart w:id="0" w:name="_GoBack"/>
      <w:bookmarkEnd w:id="0"/>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DD2B3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август</w:t>
            </w:r>
          </w:p>
        </w:tc>
      </w:tr>
      <w:tr w:rsidR="00206F58" w:rsidRPr="00A466C7" w:rsidTr="00DD2B3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DD2B3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7</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DD1F4B" w:rsidRDefault="00DD1F4B" w:rsidP="00DD2B3D">
            <w:pPr>
              <w:spacing w:after="0"/>
              <w:jc w:val="center"/>
              <w:rPr>
                <w:color w:val="000000"/>
                <w:lang w:val="en-US"/>
              </w:rPr>
            </w:pPr>
            <w:r>
              <w:rPr>
                <w:rFonts w:eastAsia="Calibri"/>
                <w:color w:val="000000"/>
                <w:lang w:val="en-US"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r>
      <w:tr w:rsidR="00206F58" w:rsidRPr="00A466C7" w:rsidTr="00DD2B3D">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DD2B3D"/>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720" w:rsidRDefault="001D5720">
      <w:pPr>
        <w:spacing w:after="0"/>
      </w:pPr>
      <w:r>
        <w:separator/>
      </w:r>
    </w:p>
  </w:endnote>
  <w:endnote w:type="continuationSeparator" w:id="0">
    <w:p w:rsidR="001D5720" w:rsidRDefault="001D5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20" w:rsidRPr="001D507D" w:rsidRDefault="001D572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D59EC">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720" w:rsidRDefault="001D5720">
      <w:pPr>
        <w:spacing w:after="0"/>
      </w:pPr>
      <w:r>
        <w:separator/>
      </w:r>
    </w:p>
  </w:footnote>
  <w:footnote w:type="continuationSeparator" w:id="0">
    <w:p w:rsidR="001D5720" w:rsidRDefault="001D5720">
      <w:pPr>
        <w:spacing w:after="0"/>
      </w:pPr>
      <w:r>
        <w:continuationSeparator/>
      </w:r>
    </w:p>
  </w:footnote>
  <w:footnote w:id="1">
    <w:p w:rsidR="001D5720" w:rsidRDefault="001D572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D5720"/>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1F4B"/>
    <w:rsid w:val="00DD2B3D"/>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59E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6523A-C7D8-4A8F-A044-3401F42E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41</Pages>
  <Words>17558</Words>
  <Characters>100087</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17</cp:revision>
  <cp:lastPrinted>2022-05-19T13:47:00Z</cp:lastPrinted>
  <dcterms:created xsi:type="dcterms:W3CDTF">2022-05-19T13:39:00Z</dcterms:created>
  <dcterms:modified xsi:type="dcterms:W3CDTF">2023-02-01T13:33:00Z</dcterms:modified>
</cp:coreProperties>
</file>