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Му</w:t>
      </w:r>
      <w:r w:rsidR="00495CFF">
        <w:rPr>
          <w:spacing w:val="4"/>
        </w:rPr>
        <w:t>стафира</w:t>
      </w:r>
      <w:r w:rsidR="002B6FBA" w:rsidRPr="001D507D">
        <w:rPr>
          <w:spacing w:val="4"/>
        </w:rPr>
        <w:t xml:space="preserve"> </w:t>
      </w:r>
      <w:r w:rsidR="00495CFF">
        <w:rPr>
          <w:spacing w:val="4"/>
        </w:rPr>
        <w:t>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2D7295">
        <w:rPr>
          <w:rFonts w:ascii="Times New Roman" w:eastAsia="Calibri" w:hAnsi="Times New Roman" w:cs="Times New Roman"/>
        </w:rPr>
        <w:t>Прохладненский район, с.п.ст. Солдатская, ул. Пилипенко, д.52</w:t>
      </w:r>
    </w:p>
    <w:p w:rsidR="00E45962" w:rsidRPr="001D507D" w:rsidRDefault="004F70A9"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2D7295">
        <w:rPr>
          <w:rFonts w:ascii="Times New Roman" w:hAnsi="Times New Roman" w:cs="Times New Roman"/>
          <w:b/>
        </w:rPr>
        <w:t>9</w:t>
      </w:r>
      <w:r w:rsidR="00215158" w:rsidRPr="00215158">
        <w:rPr>
          <w:rFonts w:ascii="Times New Roman" w:hAnsi="Times New Roman" w:cs="Times New Roman"/>
          <w:b/>
        </w:rPr>
        <w:t>0</w:t>
      </w:r>
      <w:r w:rsidR="00C81DA1" w:rsidRPr="00215158">
        <w:rPr>
          <w:rFonts w:ascii="Times New Roman" w:hAnsi="Times New Roman" w:cs="Times New Roman"/>
          <w:b/>
        </w:rPr>
        <w:t xml:space="preserve"> (</w:t>
      </w:r>
      <w:r w:rsidR="002D7295">
        <w:rPr>
          <w:rFonts w:ascii="Times New Roman" w:hAnsi="Times New Roman" w:cs="Times New Roman"/>
          <w:b/>
        </w:rPr>
        <w:t>девяносто</w:t>
      </w:r>
      <w:r w:rsidR="00C81DA1" w:rsidRPr="00215158">
        <w:rPr>
          <w:rFonts w:ascii="Times New Roman" w:hAnsi="Times New Roman" w:cs="Times New Roman"/>
          <w:b/>
        </w:rPr>
        <w:t>)</w:t>
      </w:r>
      <w:r w:rsidR="00413CE4" w:rsidRPr="00215158">
        <w:rPr>
          <w:rFonts w:ascii="Times New Roman" w:hAnsi="Times New Roman" w:cs="Times New Roman"/>
          <w:b/>
        </w:rPr>
        <w:t xml:space="preserve"> </w:t>
      </w:r>
      <w:r w:rsidR="00CB5895" w:rsidRPr="00215158">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CA20EA">
        <w:rPr>
          <w:rFonts w:ascii="Times New Roman" w:hAnsi="Times New Roman" w:cs="Times New Roman"/>
        </w:rPr>
        <w:t>временных сооружений и объектов. 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lastRenderedPageBreak/>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УТВЕРЖДАЮ:</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Генеральный директор НФ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"Региональный оператор капитального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ремонта многоквартирных домов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Кабардино-Балкарской Республики"</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_________________________ М.Кулиев</w:t>
      </w:r>
    </w:p>
    <w:p w:rsidR="00215158" w:rsidRPr="00215158" w:rsidRDefault="00215158" w:rsidP="00215158"/>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w:t>
            </w:r>
            <w:r w:rsidR="002D7295">
              <w:rPr>
                <w:b/>
                <w:u w:val="single"/>
              </w:rPr>
              <w:t>Прохладненский район, с.п. ст.Солдатская, ул.</w:t>
            </w:r>
            <w:r w:rsidR="004251A2">
              <w:rPr>
                <w:b/>
                <w:u w:val="single"/>
              </w:rPr>
              <w:t xml:space="preserve"> Пилипенко, 52</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B4491E">
              <w:t xml:space="preserve"> - 19</w:t>
            </w:r>
            <w:r w:rsidR="004251A2">
              <w:t>90</w:t>
            </w:r>
          </w:p>
          <w:p w:rsidR="005B1F2A" w:rsidRPr="00605B53" w:rsidRDefault="00EE7C66" w:rsidP="00C5331E">
            <w:pPr>
              <w:tabs>
                <w:tab w:val="left" w:pos="622"/>
              </w:tabs>
              <w:autoSpaceDE w:val="0"/>
              <w:autoSpaceDN w:val="0"/>
              <w:adjustRightInd w:val="0"/>
              <w:ind w:left="33" w:right="-2"/>
            </w:pPr>
            <w:r>
              <w:t xml:space="preserve">Количество этажей - </w:t>
            </w:r>
            <w:r w:rsidR="004251A2">
              <w:t>2</w:t>
            </w:r>
          </w:p>
          <w:p w:rsidR="005B1F2A" w:rsidRPr="00605B53" w:rsidRDefault="00EE7C66" w:rsidP="00C5331E">
            <w:pPr>
              <w:tabs>
                <w:tab w:val="left" w:pos="622"/>
              </w:tabs>
              <w:autoSpaceDE w:val="0"/>
              <w:autoSpaceDN w:val="0"/>
              <w:adjustRightInd w:val="0"/>
              <w:ind w:left="33" w:right="-2"/>
            </w:pPr>
            <w:r>
              <w:t>Количество подъездов -</w:t>
            </w:r>
            <w:r w:rsidR="004251A2">
              <w:t>1</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w:t>
      </w:r>
      <w:r w:rsidR="007564EA">
        <w:rPr>
          <w:sz w:val="22"/>
          <w:szCs w:val="22"/>
        </w:rPr>
        <w:t xml:space="preserve">тографии объектов до начала, во </w:t>
      </w:r>
      <w:r w:rsidRPr="00A86C52">
        <w:rPr>
          <w:sz w:val="22"/>
          <w:szCs w:val="22"/>
        </w:rPr>
        <w:t>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4251A2">
        <w:rPr>
          <w:b/>
          <w:spacing w:val="-6"/>
          <w:sz w:val="22"/>
          <w:szCs w:val="22"/>
        </w:rPr>
        <w:t>9</w:t>
      </w:r>
      <w:r w:rsidR="00306AB2">
        <w:rPr>
          <w:b/>
          <w:spacing w:val="-6"/>
          <w:sz w:val="22"/>
          <w:szCs w:val="22"/>
        </w:rPr>
        <w:t>0</w:t>
      </w:r>
      <w:r w:rsidRPr="00992781">
        <w:rPr>
          <w:b/>
          <w:spacing w:val="-6"/>
          <w:sz w:val="22"/>
          <w:szCs w:val="22"/>
        </w:rPr>
        <w:t xml:space="preserve"> </w:t>
      </w:r>
      <w:r w:rsidRPr="00992781">
        <w:rPr>
          <w:spacing w:val="-6"/>
          <w:sz w:val="22"/>
          <w:szCs w:val="22"/>
        </w:rPr>
        <w:t>(</w:t>
      </w:r>
      <w:r w:rsidR="007564EA">
        <w:rPr>
          <w:spacing w:val="-6"/>
          <w:sz w:val="22"/>
          <w:szCs w:val="22"/>
        </w:rPr>
        <w:t>с</w:t>
      </w:r>
      <w:r w:rsidR="00215158">
        <w:rPr>
          <w:spacing w:val="-6"/>
          <w:sz w:val="22"/>
          <w:szCs w:val="22"/>
        </w:rPr>
        <w:t>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4251A2">
        <w:trPr>
          <w:cantSplit/>
          <w:trHeight w:val="141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4251A2" w:rsidP="004251A2">
            <w:pPr>
              <w:spacing w:before="100" w:beforeAutospacing="1" w:after="100" w:afterAutospacing="1"/>
              <w:contextualSpacing/>
              <w:jc w:val="left"/>
              <w:rPr>
                <w:rFonts w:eastAsia="Calibri"/>
                <w:sz w:val="22"/>
                <w:szCs w:val="22"/>
              </w:rPr>
            </w:pPr>
            <w:r w:rsidRPr="004251A2">
              <w:rPr>
                <w:rFonts w:eastAsia="Calibri"/>
                <w:sz w:val="22"/>
                <w:szCs w:val="22"/>
              </w:rPr>
              <w:t>Ка</w:t>
            </w:r>
            <w:r>
              <w:rPr>
                <w:rFonts w:eastAsia="Calibri"/>
                <w:sz w:val="22"/>
                <w:szCs w:val="22"/>
              </w:rPr>
              <w:t xml:space="preserve">бардино-Балкарская Республика, </w:t>
            </w:r>
            <w:r w:rsidRPr="004251A2">
              <w:rPr>
                <w:rFonts w:eastAsia="Calibri"/>
                <w:sz w:val="22"/>
                <w:szCs w:val="22"/>
              </w:rPr>
              <w:t>Прохладненский район, с.п. ст.Солдатская, ул. Пилипенко, 52</w:t>
            </w:r>
          </w:p>
        </w:tc>
        <w:tc>
          <w:tcPr>
            <w:tcW w:w="1984" w:type="dxa"/>
            <w:tcBorders>
              <w:top w:val="single" w:sz="2" w:space="0" w:color="auto"/>
            </w:tcBorders>
            <w:shd w:val="clear" w:color="auto" w:fill="auto"/>
            <w:vAlign w:val="center"/>
          </w:tcPr>
          <w:p w:rsidR="00F401B9" w:rsidRPr="00A86C52" w:rsidRDefault="004251A2"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1 286 042,40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984" w:type="dxa"/>
            <w:tcBorders>
              <w:top w:val="single" w:sz="4" w:space="0" w:color="auto"/>
            </w:tcBorders>
            <w:shd w:val="clear" w:color="auto" w:fill="auto"/>
            <w:vAlign w:val="center"/>
          </w:tcPr>
          <w:p w:rsidR="00992781" w:rsidRPr="00A86C52" w:rsidRDefault="004251A2" w:rsidP="004F70A9">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251A2">
              <w:rPr>
                <w:rFonts w:eastAsia="Calibri"/>
                <w:b/>
                <w:bCs/>
                <w:kern w:val="1"/>
                <w:sz w:val="22"/>
                <w:szCs w:val="22"/>
                <w:lang w:eastAsia="ar-SA"/>
              </w:rPr>
              <w:t>1 286 042,40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851"/>
        <w:gridCol w:w="4252"/>
        <w:gridCol w:w="1560"/>
        <w:gridCol w:w="1136"/>
        <w:gridCol w:w="990"/>
      </w:tblGrid>
      <w:tr w:rsidR="00391612" w:rsidTr="004F70A9">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25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F55CAD" w:rsidTr="004F70A9">
        <w:tc>
          <w:tcPr>
            <w:tcW w:w="562" w:type="dxa"/>
            <w:tcBorders>
              <w:top w:val="single" w:sz="4" w:space="0" w:color="auto"/>
              <w:left w:val="single" w:sz="4" w:space="0" w:color="auto"/>
              <w:bottom w:val="single" w:sz="4" w:space="0" w:color="auto"/>
              <w:right w:val="single" w:sz="4" w:space="0" w:color="auto"/>
            </w:tcBorders>
            <w:vAlign w:val="center"/>
            <w:hideMark/>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б/н</w:t>
            </w:r>
          </w:p>
        </w:tc>
        <w:tc>
          <w:tcPr>
            <w:tcW w:w="4252" w:type="dxa"/>
            <w:tcBorders>
              <w:top w:val="single" w:sz="4" w:space="0" w:color="auto"/>
              <w:left w:val="single" w:sz="4" w:space="0" w:color="auto"/>
              <w:bottom w:val="single" w:sz="4" w:space="0" w:color="auto"/>
              <w:right w:val="single" w:sz="4" w:space="0" w:color="auto"/>
            </w:tcBorders>
          </w:tcPr>
          <w:p w:rsidR="00F55CAD" w:rsidRPr="00A86C52" w:rsidRDefault="004F70A9" w:rsidP="00F55CAD">
            <w:pPr>
              <w:spacing w:before="100" w:beforeAutospacing="1" w:after="100" w:afterAutospacing="1"/>
              <w:contextualSpacing/>
              <w:jc w:val="left"/>
              <w:rPr>
                <w:rFonts w:eastAsia="Calibri"/>
                <w:sz w:val="22"/>
                <w:szCs w:val="22"/>
              </w:rPr>
            </w:pPr>
            <w:r w:rsidRPr="004F70A9">
              <w:rPr>
                <w:rFonts w:eastAsia="Calibri"/>
                <w:sz w:val="22"/>
                <w:szCs w:val="22"/>
              </w:rPr>
              <w:t>Ка</w:t>
            </w:r>
            <w:r>
              <w:rPr>
                <w:rFonts w:eastAsia="Calibri"/>
                <w:sz w:val="22"/>
                <w:szCs w:val="22"/>
              </w:rPr>
              <w:t xml:space="preserve">бардино-Балкарская Республика, </w:t>
            </w:r>
            <w:r w:rsidR="004251A2" w:rsidRPr="004251A2">
              <w:rPr>
                <w:rFonts w:eastAsia="Calibri"/>
                <w:sz w:val="22"/>
                <w:szCs w:val="22"/>
              </w:rPr>
              <w:t>Прохладненский район, с.п. ст.Солдатская, ул. Пилипенко, 52</w:t>
            </w:r>
          </w:p>
        </w:tc>
        <w:tc>
          <w:tcPr>
            <w:tcW w:w="1560" w:type="dxa"/>
            <w:tcBorders>
              <w:top w:val="single" w:sz="4" w:space="0" w:color="auto"/>
              <w:left w:val="single" w:sz="4" w:space="0" w:color="auto"/>
              <w:bottom w:val="single" w:sz="4" w:space="0" w:color="auto"/>
              <w:right w:val="single" w:sz="4" w:space="0" w:color="auto"/>
            </w:tcBorders>
          </w:tcPr>
          <w:p w:rsidR="00F55CAD" w:rsidRPr="00387791" w:rsidRDefault="004251A2" w:rsidP="00F55CAD">
            <w:r w:rsidRPr="004251A2">
              <w:rPr>
                <w:bCs/>
              </w:rPr>
              <w:t>1 286 042,40</w:t>
            </w:r>
          </w:p>
        </w:tc>
        <w:tc>
          <w:tcPr>
            <w:tcW w:w="1136"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4F70A9" w:rsidP="00F55CAD">
            <w:pPr>
              <w:spacing w:before="100" w:beforeAutospacing="1" w:after="100" w:afterAutospacing="1"/>
              <w:contextualSpacing/>
              <w:jc w:val="center"/>
              <w:rPr>
                <w:sz w:val="22"/>
                <w:szCs w:val="22"/>
                <w:lang w:eastAsia="en-US"/>
              </w:rPr>
            </w:pPr>
            <w:r>
              <w:rPr>
                <w:sz w:val="22"/>
                <w:szCs w:val="22"/>
                <w:lang w:eastAsia="en-US"/>
              </w:rPr>
              <w:t>1</w:t>
            </w:r>
            <w:r w:rsidR="00F55CAD">
              <w:rPr>
                <w:sz w:val="22"/>
                <w:szCs w:val="22"/>
                <w:lang w:eastAsia="en-US"/>
              </w:rPr>
              <w:t>3</w:t>
            </w:r>
          </w:p>
        </w:tc>
      </w:tr>
      <w:tr w:rsidR="00F55CAD" w:rsidTr="004F70A9">
        <w:tc>
          <w:tcPr>
            <w:tcW w:w="5665" w:type="dxa"/>
            <w:gridSpan w:val="3"/>
            <w:tcBorders>
              <w:top w:val="single" w:sz="4" w:space="0" w:color="auto"/>
              <w:left w:val="single" w:sz="4" w:space="0" w:color="auto"/>
              <w:bottom w:val="single" w:sz="4" w:space="0" w:color="auto"/>
              <w:right w:val="single" w:sz="4" w:space="0" w:color="auto"/>
            </w:tcBorders>
            <w:vAlign w:val="center"/>
            <w:hideMark/>
          </w:tcPr>
          <w:p w:rsidR="00F55CAD" w:rsidRDefault="00F55CAD" w:rsidP="00F55CAD">
            <w:pPr>
              <w:spacing w:before="100" w:beforeAutospacing="1" w:after="100" w:afterAutospacing="1"/>
              <w:contextualSpacing/>
              <w:jc w:val="left"/>
              <w:rPr>
                <w:sz w:val="22"/>
                <w:szCs w:val="22"/>
                <w:lang w:eastAsia="en-US"/>
              </w:rPr>
            </w:pPr>
            <w:r>
              <w:rPr>
                <w:sz w:val="22"/>
                <w:szCs w:val="22"/>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F55CAD" w:rsidRPr="00A86C52" w:rsidRDefault="004251A2" w:rsidP="00F55CAD">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251A2">
              <w:rPr>
                <w:rFonts w:eastAsia="Calibri"/>
                <w:b/>
                <w:bCs/>
                <w:kern w:val="1"/>
                <w:sz w:val="22"/>
                <w:szCs w:val="22"/>
                <w:lang w:eastAsia="ar-SA"/>
              </w:rPr>
              <w:t>1 286 042,40</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vAlign w:val="center"/>
          </w:tcPr>
          <w:p w:rsidR="00F55CAD" w:rsidRPr="002834A7" w:rsidRDefault="00F55CAD" w:rsidP="00F55CAD">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F55CAD" w:rsidP="00F55CAD"/>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r w:rsidRPr="00A86C52">
        <w:rPr>
          <w:i/>
          <w:color w:val="000000"/>
          <w:sz w:val="22"/>
          <w:szCs w:val="22"/>
        </w:rPr>
        <w:tab/>
        <w:t xml:space="preserve">  (ФИО)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B25B65" w:rsidP="00A8759B">
            <w:pPr>
              <w:spacing w:before="100" w:beforeAutospacing="1" w:after="100" w:afterAutospacing="1"/>
              <w:contextualSpacing/>
              <w:rPr>
                <w:color w:val="000000"/>
                <w:sz w:val="22"/>
                <w:szCs w:val="22"/>
              </w:rPr>
            </w:pPr>
            <w:r>
              <w:rPr>
                <w:color w:val="000000"/>
                <w:sz w:val="22"/>
                <w:szCs w:val="22"/>
              </w:rPr>
              <w:t>Генеральный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295" w:rsidRDefault="002D7295">
      <w:pPr>
        <w:spacing w:after="0"/>
      </w:pPr>
      <w:r>
        <w:separator/>
      </w:r>
    </w:p>
  </w:endnote>
  <w:endnote w:type="continuationSeparator" w:id="0">
    <w:p w:rsidR="002D7295" w:rsidRDefault="002D7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95" w:rsidRDefault="002D72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95" w:rsidRPr="001D507D" w:rsidRDefault="002D7295"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251A2">
          <w:rPr>
            <w:b/>
            <w:noProof/>
            <w:sz w:val="22"/>
          </w:rPr>
          <w:t>3</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95" w:rsidRDefault="002D72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295" w:rsidRDefault="002D7295">
      <w:pPr>
        <w:spacing w:after="0"/>
      </w:pPr>
      <w:r>
        <w:separator/>
      </w:r>
    </w:p>
  </w:footnote>
  <w:footnote w:type="continuationSeparator" w:id="0">
    <w:p w:rsidR="002D7295" w:rsidRDefault="002D7295">
      <w:pPr>
        <w:spacing w:after="0"/>
      </w:pPr>
      <w:r>
        <w:continuationSeparator/>
      </w:r>
    </w:p>
  </w:footnote>
  <w:footnote w:id="1">
    <w:p w:rsidR="002D7295" w:rsidRDefault="002D729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95" w:rsidRDefault="002D72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95" w:rsidRDefault="002D729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95" w:rsidRDefault="002D72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5158"/>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295"/>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57C1"/>
    <w:rsid w:val="00416814"/>
    <w:rsid w:val="0041777C"/>
    <w:rsid w:val="00417FDC"/>
    <w:rsid w:val="00421B43"/>
    <w:rsid w:val="00423D5A"/>
    <w:rsid w:val="004251A2"/>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4F70A9"/>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64EA"/>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25B65"/>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A20EA"/>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55CAD"/>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95F3-AF67-4D58-BD6D-839DCCA3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16336</Words>
  <Characters>93119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2021-09-27T13:21:00Z</cp:lastPrinted>
  <dcterms:created xsi:type="dcterms:W3CDTF">2021-10-04T13:39:00Z</dcterms:created>
  <dcterms:modified xsi:type="dcterms:W3CDTF">2021-10-04T13:39:00Z</dcterms:modified>
</cp:coreProperties>
</file>