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925A20">
        <w:rPr>
          <w:b/>
          <w:bCs/>
          <w:szCs w:val="24"/>
        </w:rPr>
        <w:t>0</w:t>
      </w:r>
      <w:r w:rsidR="00B20F20">
        <w:rPr>
          <w:b/>
          <w:bCs/>
          <w:szCs w:val="24"/>
        </w:rPr>
        <w:t>6</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DE126E">
        <w:rPr>
          <w:b/>
          <w:szCs w:val="24"/>
        </w:rPr>
        <w:t>4</w:t>
      </w:r>
      <w:r w:rsidR="00B20F20">
        <w:rPr>
          <w:b/>
          <w:szCs w:val="24"/>
        </w:rPr>
        <w:t>6</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62E2F">
            <w:pPr>
              <w:widowControl w:val="0"/>
              <w:autoSpaceDE w:val="0"/>
              <w:autoSpaceDN w:val="0"/>
              <w:adjustRightInd w:val="0"/>
              <w:jc w:val="both"/>
              <w:rPr>
                <w:szCs w:val="24"/>
              </w:rPr>
            </w:pPr>
            <w:r w:rsidRPr="00767BDD">
              <w:rPr>
                <w:b/>
                <w:szCs w:val="24"/>
              </w:rPr>
              <w:t>№</w:t>
            </w:r>
            <w:r w:rsidRPr="00767BDD">
              <w:rPr>
                <w:szCs w:val="24"/>
              </w:rPr>
              <w:t xml:space="preserve"> </w:t>
            </w:r>
            <w:r w:rsidR="00B20F20">
              <w:rPr>
                <w:b/>
                <w:szCs w:val="24"/>
              </w:rPr>
              <w:t>46</w:t>
            </w:r>
            <w:r w:rsidR="00C360A8">
              <w:rPr>
                <w:b/>
                <w:szCs w:val="24"/>
              </w:rPr>
              <w:t xml:space="preserve"> </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B20F20">
              <w:rPr>
                <w:b/>
              </w:rPr>
              <w:t>7</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B20F20">
              <w:rPr>
                <w:b/>
                <w:szCs w:val="24"/>
              </w:rPr>
              <w:t>27</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925A20">
            <w:pPr>
              <w:spacing w:line="259" w:lineRule="auto"/>
              <w:contextualSpacing/>
              <w:jc w:val="both"/>
              <w:rPr>
                <w:szCs w:val="24"/>
              </w:rPr>
            </w:pPr>
            <w:r w:rsidRPr="00674B02">
              <w:rPr>
                <w:szCs w:val="24"/>
              </w:rPr>
              <w:t>с 09 часов 00 мин. (время московское) «</w:t>
            </w:r>
            <w:r w:rsidR="00B20F20">
              <w:rPr>
                <w:szCs w:val="24"/>
              </w:rPr>
              <w:t>08</w:t>
            </w:r>
            <w:r w:rsidRPr="00674B02">
              <w:rPr>
                <w:szCs w:val="24"/>
              </w:rPr>
              <w:t xml:space="preserve">» </w:t>
            </w:r>
            <w:r w:rsidR="00D35F94">
              <w:rPr>
                <w:szCs w:val="24"/>
              </w:rPr>
              <w:t>апреля</w:t>
            </w:r>
            <w:r w:rsidRPr="00674B02">
              <w:rPr>
                <w:szCs w:val="24"/>
              </w:rPr>
              <w:t xml:space="preserve"> 2022 года до 23 час</w:t>
            </w:r>
            <w:r w:rsidR="00D77C86">
              <w:rPr>
                <w:szCs w:val="24"/>
              </w:rPr>
              <w:t>ов 59 мин. (время московское) «22</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B20F20" w:rsidP="000D7C90">
            <w:pPr>
              <w:jc w:val="both"/>
              <w:rPr>
                <w:b/>
                <w:szCs w:val="24"/>
              </w:rPr>
            </w:pPr>
            <w:r>
              <w:rPr>
                <w:b/>
                <w:szCs w:val="24"/>
              </w:rPr>
              <w:lastRenderedPageBreak/>
              <w:t>«27</w:t>
            </w:r>
            <w:r w:rsidR="00D77C86" w:rsidRPr="00D77C86">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B20F20">
            <w:pPr>
              <w:jc w:val="both"/>
              <w:rPr>
                <w:szCs w:val="24"/>
              </w:rPr>
            </w:pPr>
            <w:r>
              <w:rPr>
                <w:b/>
                <w:szCs w:val="24"/>
              </w:rPr>
              <w:t>«</w:t>
            </w:r>
            <w:r w:rsidR="00B20F20">
              <w:rPr>
                <w:b/>
                <w:szCs w:val="24"/>
              </w:rPr>
              <w:t>04</w:t>
            </w:r>
            <w:r>
              <w:rPr>
                <w:b/>
                <w:szCs w:val="24"/>
              </w:rPr>
              <w:t xml:space="preserve">» </w:t>
            </w:r>
            <w:r w:rsidR="00B20F20">
              <w:rPr>
                <w:b/>
                <w:szCs w:val="24"/>
              </w:rPr>
              <w:t>ма</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C360A8">
            <w:pPr>
              <w:jc w:val="both"/>
              <w:rPr>
                <w:szCs w:val="24"/>
              </w:rPr>
            </w:pPr>
            <w:r>
              <w:rPr>
                <w:bCs/>
                <w:szCs w:val="24"/>
              </w:rPr>
              <w:t xml:space="preserve">в течении </w:t>
            </w:r>
            <w:r>
              <w:rPr>
                <w:b/>
                <w:bCs/>
                <w:szCs w:val="24"/>
              </w:rPr>
              <w:t>1</w:t>
            </w:r>
            <w:r w:rsidR="00C360A8">
              <w:rPr>
                <w:b/>
                <w:bCs/>
                <w:szCs w:val="24"/>
              </w:rPr>
              <w:t>5</w:t>
            </w:r>
            <w:r>
              <w:rPr>
                <w:b/>
                <w:bCs/>
                <w:szCs w:val="24"/>
              </w:rPr>
              <w:t xml:space="preserve">0 (сто </w:t>
            </w:r>
            <w:r w:rsidR="00C360A8">
              <w:rPr>
                <w:b/>
                <w:bCs/>
                <w:szCs w:val="24"/>
              </w:rPr>
              <w:t>пятьдесят</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B20F20" w:rsidP="00B20F20">
            <w:pPr>
              <w:jc w:val="both"/>
              <w:rPr>
                <w:szCs w:val="24"/>
              </w:rPr>
            </w:pPr>
            <w:r>
              <w:rPr>
                <w:b/>
                <w:bCs/>
                <w:szCs w:val="24"/>
              </w:rPr>
              <w:t>16 767 879,60</w:t>
            </w:r>
            <w:r w:rsidR="0050713F">
              <w:rPr>
                <w:b/>
                <w:bCs/>
                <w:szCs w:val="24"/>
              </w:rPr>
              <w:t xml:space="preserve"> </w:t>
            </w:r>
            <w:r w:rsidR="005A44C2" w:rsidRPr="00767BDD">
              <w:rPr>
                <w:bCs/>
                <w:szCs w:val="24"/>
              </w:rPr>
              <w:t>(</w:t>
            </w:r>
            <w:r>
              <w:rPr>
                <w:bCs/>
                <w:szCs w:val="24"/>
              </w:rPr>
              <w:t>Шестнадцать миллионов семьсот шестьдесят семь тысяч восемьсот семьдесят девять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6</w:t>
            </w:r>
            <w:r w:rsidR="0099428C" w:rsidRPr="0099428C">
              <w:rPr>
                <w:bCs/>
                <w:szCs w:val="24"/>
              </w:rPr>
              <w:t>0 (</w:t>
            </w:r>
            <w:r>
              <w:rPr>
                <w:bCs/>
                <w:szCs w:val="24"/>
              </w:rPr>
              <w:t>шестьдесят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B20F20">
              <w:rPr>
                <w:b/>
                <w:szCs w:val="24"/>
              </w:rPr>
              <w:t>167 678,80</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B20F20">
              <w:rPr>
                <w:b/>
                <w:bCs/>
                <w:szCs w:val="24"/>
              </w:rPr>
              <w:t>4 191 969,90</w:t>
            </w:r>
            <w:r w:rsidR="008C5819">
              <w:rPr>
                <w:b/>
                <w:bCs/>
                <w:szCs w:val="24"/>
              </w:rPr>
              <w:t xml:space="preserve"> </w:t>
            </w:r>
            <w:r w:rsidR="006238A5" w:rsidRPr="00767BDD">
              <w:rPr>
                <w:bCs/>
                <w:szCs w:val="24"/>
              </w:rPr>
              <w:t>(</w:t>
            </w:r>
            <w:r w:rsidR="00B20F20">
              <w:rPr>
                <w:bCs/>
                <w:szCs w:val="24"/>
              </w:rPr>
              <w:t>Четыре миллиона сто девяносто одна тысяча</w:t>
            </w:r>
            <w:r w:rsidR="00024FD0">
              <w:rPr>
                <w:bCs/>
                <w:szCs w:val="24"/>
              </w:rPr>
              <w:t xml:space="preserve"> </w:t>
            </w:r>
            <w:r w:rsidR="007B4BE4">
              <w:rPr>
                <w:bCs/>
                <w:szCs w:val="24"/>
              </w:rPr>
              <w:t xml:space="preserve">девятьсот шестьдесят девять </w:t>
            </w:r>
            <w:r w:rsidR="00024FD0">
              <w:rPr>
                <w:bCs/>
                <w:szCs w:val="24"/>
              </w:rPr>
              <w:t>рубл</w:t>
            </w:r>
            <w:r w:rsidR="007B4BE4">
              <w:rPr>
                <w:bCs/>
                <w:szCs w:val="24"/>
              </w:rPr>
              <w:t>ей</w:t>
            </w:r>
            <w:r w:rsidR="005354CE">
              <w:rPr>
                <w:bCs/>
                <w:szCs w:val="24"/>
              </w:rPr>
              <w:t xml:space="preserve">, </w:t>
            </w:r>
            <w:r w:rsidR="007B4BE4">
              <w:rPr>
                <w:bCs/>
                <w:szCs w:val="24"/>
              </w:rPr>
              <w:t>9</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bookmarkStart w:id="25" w:name="_GoBack"/>
            <w:bookmarkEnd w:id="25"/>
            <w:r w:rsidRPr="00767BDD">
              <w:rPr>
                <w:szCs w:val="24"/>
              </w:rPr>
              <w:t xml:space="preserve">,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E5B0C-D0F0-4B56-8BF3-831BC2BF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267</TotalTime>
  <Pages>20</Pages>
  <Words>6876</Words>
  <Characters>49142</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22</cp:revision>
  <cp:lastPrinted>2021-09-21T07:12:00Z</cp:lastPrinted>
  <dcterms:created xsi:type="dcterms:W3CDTF">2022-03-30T14:31:00Z</dcterms:created>
  <dcterms:modified xsi:type="dcterms:W3CDTF">2022-04-06T07:11:00Z</dcterms:modified>
</cp:coreProperties>
</file>