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AD7F00">
        <w:rPr>
          <w:rFonts w:ascii="Times New Roman" w:eastAsia="Calibri" w:hAnsi="Times New Roman" w:cs="Times New Roman"/>
        </w:rPr>
        <w:t xml:space="preserve">ул. </w:t>
      </w:r>
      <w:proofErr w:type="spellStart"/>
      <w:r w:rsidR="00AD7F00">
        <w:rPr>
          <w:rFonts w:ascii="Times New Roman" w:eastAsia="Calibri" w:hAnsi="Times New Roman" w:cs="Times New Roman"/>
        </w:rPr>
        <w:t>Хуранова</w:t>
      </w:r>
      <w:proofErr w:type="spellEnd"/>
      <w:r w:rsidR="00AD7F00">
        <w:rPr>
          <w:rFonts w:ascii="Times New Roman" w:eastAsia="Calibri" w:hAnsi="Times New Roman" w:cs="Times New Roman"/>
        </w:rPr>
        <w:t>, 6</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AD7F00">
        <w:rPr>
          <w:rFonts w:ascii="Times New Roman" w:eastAsia="Calibri" w:hAnsi="Times New Roman" w:cs="Times New Roman"/>
        </w:rPr>
        <w:t>г.о</w:t>
      </w:r>
      <w:proofErr w:type="spellEnd"/>
      <w:r w:rsidR="00AD7F00">
        <w:rPr>
          <w:rFonts w:ascii="Times New Roman" w:eastAsia="Calibri" w:hAnsi="Times New Roman" w:cs="Times New Roman"/>
        </w:rPr>
        <w:t>. Нальчик ул. Головко, 91</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AD7F00"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Хуранова</w:t>
            </w:r>
            <w:proofErr w:type="spellEnd"/>
            <w:r>
              <w:rPr>
                <w:b/>
                <w:u w:val="single"/>
              </w:rPr>
              <w:t>, д. 6</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AD7F00">
              <w:t xml:space="preserve"> - 1959</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D70DAD"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AD7F00"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Головко, д. 91</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- 1960</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D70DAD"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AD7F00">
              <w:t>блок/кирпич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A47B7B">
              <w:rPr>
                <w:rFonts w:eastAsia="Calibri"/>
                <w:sz w:val="22"/>
                <w:szCs w:val="22"/>
              </w:rPr>
              <w:t>г.о</w:t>
            </w:r>
            <w:proofErr w:type="spellEnd"/>
            <w:r w:rsidR="00A47B7B">
              <w:rPr>
                <w:rFonts w:eastAsia="Calibri"/>
                <w:sz w:val="22"/>
                <w:szCs w:val="22"/>
              </w:rPr>
              <w:t xml:space="preserve">. Нальчик ул. </w:t>
            </w:r>
            <w:proofErr w:type="spellStart"/>
            <w:r w:rsidR="00A47B7B">
              <w:rPr>
                <w:rFonts w:eastAsia="Calibri"/>
                <w:sz w:val="22"/>
                <w:szCs w:val="22"/>
              </w:rPr>
              <w:t>Хуранова</w:t>
            </w:r>
            <w:proofErr w:type="spellEnd"/>
            <w:r w:rsidR="00A47B7B">
              <w:rPr>
                <w:rFonts w:eastAsia="Calibri"/>
                <w:sz w:val="22"/>
                <w:szCs w:val="22"/>
              </w:rPr>
              <w:t>, 6</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A47B7B"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2 527 568,40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A47B7B">
              <w:rPr>
                <w:rFonts w:eastAsia="Calibri"/>
                <w:sz w:val="22"/>
                <w:szCs w:val="22"/>
              </w:rPr>
              <w:t xml:space="preserve">а, </w:t>
            </w:r>
            <w:proofErr w:type="spellStart"/>
            <w:r w:rsidR="00A47B7B">
              <w:rPr>
                <w:rFonts w:eastAsia="Calibri"/>
                <w:sz w:val="22"/>
                <w:szCs w:val="22"/>
              </w:rPr>
              <w:t>г.о</w:t>
            </w:r>
            <w:proofErr w:type="spellEnd"/>
            <w:r w:rsidR="00A47B7B">
              <w:rPr>
                <w:rFonts w:eastAsia="Calibri"/>
                <w:sz w:val="22"/>
                <w:szCs w:val="22"/>
              </w:rPr>
              <w:t>. Нальчик ул. Головко, 91</w:t>
            </w:r>
          </w:p>
        </w:tc>
        <w:tc>
          <w:tcPr>
            <w:tcW w:w="2126" w:type="dxa"/>
            <w:tcBorders>
              <w:top w:val="single" w:sz="4" w:space="0" w:color="auto"/>
            </w:tcBorders>
            <w:shd w:val="clear" w:color="auto" w:fill="auto"/>
            <w:vAlign w:val="center"/>
          </w:tcPr>
          <w:p w:rsidR="00F401B9" w:rsidRPr="00A86C52" w:rsidRDefault="00A47B7B"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3 709 520</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A47B7B"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6 237 088,40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A47B7B" w:rsidP="00D70DAD">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Хуранова</w:t>
            </w:r>
            <w:proofErr w:type="spellEnd"/>
            <w:r>
              <w:rPr>
                <w:rFonts w:eastAsia="Calibri"/>
                <w:sz w:val="22"/>
                <w:szCs w:val="22"/>
              </w:rPr>
              <w:t>, 6</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A47B7B"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2 527 568,40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2834A7" w:rsidP="00D70DAD">
            <w:pPr>
              <w:spacing w:before="100" w:beforeAutospacing="1" w:after="100" w:afterAutospacing="1"/>
              <w:contextualSpacing/>
              <w:jc w:val="center"/>
              <w:rPr>
                <w:sz w:val="22"/>
                <w:szCs w:val="22"/>
                <w:lang w:eastAsia="en-US"/>
              </w:rPr>
            </w:pPr>
            <w:r>
              <w:rPr>
                <w:sz w:val="22"/>
                <w:szCs w:val="22"/>
                <w:lang w:eastAsia="en-US"/>
              </w:rPr>
              <w:t>35</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A47B7B" w:rsidP="00D70DAD">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Головко, 91</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A47B7B" w:rsidP="00D70DA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3 709 520,00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8B7288" w:rsidP="00D70DAD">
            <w:pPr>
              <w:spacing w:before="100" w:beforeAutospacing="1" w:after="100" w:afterAutospacing="1"/>
              <w:contextualSpacing/>
              <w:jc w:val="center"/>
              <w:rPr>
                <w:sz w:val="22"/>
                <w:szCs w:val="22"/>
                <w:lang w:eastAsia="en-US"/>
              </w:rPr>
            </w:pPr>
            <w:r>
              <w:rPr>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D70DAD" w:rsidRDefault="002834A7" w:rsidP="00D70DAD">
            <w:pPr>
              <w:spacing w:before="100" w:beforeAutospacing="1" w:after="100" w:afterAutospacing="1"/>
              <w:contextualSpacing/>
              <w:jc w:val="center"/>
              <w:rPr>
                <w:sz w:val="22"/>
                <w:szCs w:val="22"/>
                <w:lang w:eastAsia="en-US"/>
              </w:rPr>
            </w:pPr>
            <w:r>
              <w:rPr>
                <w:sz w:val="22"/>
                <w:szCs w:val="22"/>
                <w:lang w:eastAsia="en-US"/>
              </w:rPr>
              <w:t>39</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A47B7B"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6 237 088,40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2834A7" w:rsidP="006509B3">
            <w:pPr>
              <w:spacing w:before="100" w:beforeAutospacing="1" w:after="100" w:afterAutospacing="1"/>
              <w:contextualSpacing/>
              <w:jc w:val="center"/>
              <w:rPr>
                <w:sz w:val="22"/>
                <w:szCs w:val="22"/>
                <w:lang w:eastAsia="en-US"/>
              </w:rPr>
            </w:pPr>
            <w:r>
              <w:rPr>
                <w:sz w:val="22"/>
                <w:szCs w:val="22"/>
                <w:lang w:eastAsia="en-US"/>
              </w:rPr>
              <w:t>74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2C3302" w:rsidRDefault="002C330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2C330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2C330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2C330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2C3302" w:rsidRDefault="00EC27B8" w:rsidP="002C3302">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bookmarkStart w:id="0" w:name="_GoBack"/>
      <w:bookmarkEnd w:id="0"/>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37" w:rsidRDefault="001B3037">
      <w:pPr>
        <w:spacing w:after="0"/>
      </w:pPr>
      <w:r>
        <w:separator/>
      </w:r>
    </w:p>
  </w:endnote>
  <w:endnote w:type="continuationSeparator" w:id="0">
    <w:p w:rsidR="001B3037" w:rsidRDefault="001B3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Pr="001D507D" w:rsidRDefault="00AD7F0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C3302">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37" w:rsidRDefault="001B3037">
      <w:pPr>
        <w:spacing w:after="0"/>
      </w:pPr>
      <w:r>
        <w:separator/>
      </w:r>
    </w:p>
  </w:footnote>
  <w:footnote w:type="continuationSeparator" w:id="0">
    <w:p w:rsidR="001B3037" w:rsidRDefault="001B3037">
      <w:pPr>
        <w:spacing w:after="0"/>
      </w:pPr>
      <w:r>
        <w:continuationSeparator/>
      </w:r>
    </w:p>
  </w:footnote>
  <w:footnote w:id="1">
    <w:p w:rsidR="00AD7F00" w:rsidRDefault="00AD7F0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C3302"/>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ED61-BFB0-4B2E-995C-F3E5D4A0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39</Pages>
  <Words>16492</Words>
  <Characters>94005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30</cp:revision>
  <cp:lastPrinted>2021-03-31T06:37:00Z</cp:lastPrinted>
  <dcterms:created xsi:type="dcterms:W3CDTF">2021-03-30T15:16:00Z</dcterms:created>
  <dcterms:modified xsi:type="dcterms:W3CDTF">2021-06-03T09:07:00Z</dcterms:modified>
</cp:coreProperties>
</file>