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800E05">
        <w:rPr>
          <w:rFonts w:ascii="Times New Roman" w:eastAsia="Calibri" w:hAnsi="Times New Roman" w:cs="Times New Roman"/>
        </w:rPr>
        <w:t xml:space="preserve">ул. </w:t>
      </w:r>
      <w:proofErr w:type="spellStart"/>
      <w:r w:rsidR="00800E05">
        <w:rPr>
          <w:rFonts w:ascii="Times New Roman" w:eastAsia="Calibri" w:hAnsi="Times New Roman" w:cs="Times New Roman"/>
        </w:rPr>
        <w:t>Мальбахова</w:t>
      </w:r>
      <w:proofErr w:type="spellEnd"/>
      <w:r w:rsidR="00800E05">
        <w:rPr>
          <w:rFonts w:ascii="Times New Roman" w:eastAsia="Calibri" w:hAnsi="Times New Roman" w:cs="Times New Roman"/>
        </w:rPr>
        <w:t>, 62</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800E05">
        <w:rPr>
          <w:rFonts w:ascii="Times New Roman" w:eastAsia="Calibri" w:hAnsi="Times New Roman" w:cs="Times New Roman"/>
        </w:rPr>
        <w:t>г.о</w:t>
      </w:r>
      <w:proofErr w:type="spellEnd"/>
      <w:r w:rsidR="00800E05">
        <w:rPr>
          <w:rFonts w:ascii="Times New Roman" w:eastAsia="Calibri" w:hAnsi="Times New Roman" w:cs="Times New Roman"/>
        </w:rPr>
        <w:t xml:space="preserve">. Нальчик ул. </w:t>
      </w:r>
      <w:proofErr w:type="spellStart"/>
      <w:r w:rsidR="00800E05">
        <w:rPr>
          <w:rFonts w:ascii="Times New Roman" w:eastAsia="Calibri" w:hAnsi="Times New Roman" w:cs="Times New Roman"/>
        </w:rPr>
        <w:t>Мальбахова</w:t>
      </w:r>
      <w:proofErr w:type="spellEnd"/>
      <w:r w:rsidR="00800E05">
        <w:rPr>
          <w:rFonts w:ascii="Times New Roman" w:eastAsia="Calibri" w:hAnsi="Times New Roman" w:cs="Times New Roman"/>
        </w:rPr>
        <w:t>, 64</w:t>
      </w:r>
      <w:r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w:t>
      </w:r>
      <w:proofErr w:type="gramStart"/>
      <w:r w:rsidR="00381AE7">
        <w:t>10</w:t>
      </w:r>
      <w:r w:rsidR="00A8759B" w:rsidRPr="001D507D">
        <w:t>.настоящего</w:t>
      </w:r>
      <w:proofErr w:type="gramEnd"/>
      <w:r w:rsidR="00A8759B" w:rsidRPr="001D507D">
        <w:t xml:space="preserve">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800E05"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Мальбахова</w:t>
            </w:r>
            <w:proofErr w:type="spellEnd"/>
            <w:r>
              <w:rPr>
                <w:b/>
                <w:u w:val="single"/>
              </w:rPr>
              <w:t>, д. 62</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800E05">
              <w:t xml:space="preserve"> - 1962</w:t>
            </w:r>
          </w:p>
          <w:p w:rsidR="005B1F2A" w:rsidRPr="00605B53" w:rsidRDefault="00800E05" w:rsidP="00C5331E">
            <w:pPr>
              <w:tabs>
                <w:tab w:val="left" w:pos="622"/>
              </w:tabs>
              <w:autoSpaceDE w:val="0"/>
              <w:autoSpaceDN w:val="0"/>
              <w:adjustRightInd w:val="0"/>
              <w:ind w:left="33" w:right="-2"/>
            </w:pPr>
            <w:r>
              <w:t>Количество этажей - 5</w:t>
            </w:r>
          </w:p>
          <w:p w:rsidR="005B1F2A" w:rsidRPr="00605B53" w:rsidRDefault="00800E05" w:rsidP="00C5331E">
            <w:pPr>
              <w:tabs>
                <w:tab w:val="left" w:pos="622"/>
              </w:tabs>
              <w:autoSpaceDE w:val="0"/>
              <w:autoSpaceDN w:val="0"/>
              <w:adjustRightInd w:val="0"/>
              <w:ind w:left="33" w:right="-2"/>
            </w:pPr>
            <w:r>
              <w:t>Количество подъездов - 4</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D70DAD">
              <w:t>кирпич</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800E05"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Мальбахова</w:t>
            </w:r>
            <w:proofErr w:type="spellEnd"/>
            <w:r>
              <w:rPr>
                <w:b/>
                <w:u w:val="single"/>
              </w:rPr>
              <w:t>, д. 64</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800E05">
              <w:t xml:space="preserve"> 1963</w:t>
            </w:r>
          </w:p>
          <w:p w:rsidR="005B1F2A" w:rsidRPr="00605B53" w:rsidRDefault="00800E05" w:rsidP="00C5331E">
            <w:pPr>
              <w:tabs>
                <w:tab w:val="left" w:pos="622"/>
              </w:tabs>
              <w:autoSpaceDE w:val="0"/>
              <w:autoSpaceDN w:val="0"/>
              <w:adjustRightInd w:val="0"/>
              <w:ind w:left="33" w:right="-2"/>
            </w:pPr>
            <w:r>
              <w:t>Количество этажей - 5</w:t>
            </w:r>
          </w:p>
          <w:p w:rsidR="005B1F2A" w:rsidRPr="00605B53" w:rsidRDefault="00800E05" w:rsidP="00C5331E">
            <w:pPr>
              <w:tabs>
                <w:tab w:val="left" w:pos="622"/>
              </w:tabs>
              <w:autoSpaceDE w:val="0"/>
              <w:autoSpaceDN w:val="0"/>
              <w:adjustRightInd w:val="0"/>
              <w:ind w:left="33" w:right="-2"/>
            </w:pPr>
            <w:r>
              <w:t>Количество подъездов - 3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800E05">
              <w:t>кирпичный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800E05">
        <w:rPr>
          <w:b/>
          <w:spacing w:val="-6"/>
          <w:sz w:val="22"/>
          <w:szCs w:val="22"/>
        </w:rPr>
        <w:t>15</w:t>
      </w:r>
      <w:r w:rsidRPr="00992781">
        <w:rPr>
          <w:b/>
          <w:spacing w:val="-6"/>
          <w:sz w:val="22"/>
          <w:szCs w:val="22"/>
        </w:rPr>
        <w:t xml:space="preserve">0  </w:t>
      </w:r>
      <w:r w:rsidRPr="00992781">
        <w:rPr>
          <w:spacing w:val="-6"/>
          <w:sz w:val="22"/>
          <w:szCs w:val="22"/>
        </w:rPr>
        <w:t>(</w:t>
      </w:r>
      <w:proofErr w:type="gramEnd"/>
      <w:r w:rsidR="00800E05">
        <w:rPr>
          <w:spacing w:val="-6"/>
          <w:sz w:val="22"/>
          <w:szCs w:val="22"/>
        </w:rPr>
        <w:t xml:space="preserve"> сто 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800E05">
              <w:rPr>
                <w:rFonts w:eastAsia="Calibri"/>
                <w:sz w:val="22"/>
                <w:szCs w:val="22"/>
              </w:rPr>
              <w:t>г.о</w:t>
            </w:r>
            <w:proofErr w:type="spellEnd"/>
            <w:r w:rsidR="00800E05">
              <w:rPr>
                <w:rFonts w:eastAsia="Calibri"/>
                <w:sz w:val="22"/>
                <w:szCs w:val="22"/>
              </w:rPr>
              <w:t xml:space="preserve">. Нальчик ул. </w:t>
            </w:r>
            <w:proofErr w:type="spellStart"/>
            <w:r w:rsidR="00800E05">
              <w:rPr>
                <w:rFonts w:eastAsia="Calibri"/>
                <w:sz w:val="22"/>
                <w:szCs w:val="22"/>
              </w:rPr>
              <w:t>Мальбахова</w:t>
            </w:r>
            <w:proofErr w:type="spellEnd"/>
            <w:r w:rsidR="00800E05">
              <w:rPr>
                <w:rFonts w:eastAsia="Calibri"/>
                <w:sz w:val="22"/>
                <w:szCs w:val="22"/>
              </w:rPr>
              <w:t>, 62</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800E05"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7 893 474</w:t>
            </w:r>
            <w:r w:rsidR="00F9667A">
              <w:rPr>
                <w:rFonts w:eastAsia="Calibri"/>
                <w:bCs/>
                <w:sz w:val="22"/>
                <w:szCs w:val="22"/>
                <w:lang w:eastAsia="en-US"/>
              </w:rPr>
              <w:t>,00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800E05">
              <w:rPr>
                <w:rFonts w:eastAsia="Calibri"/>
                <w:sz w:val="22"/>
                <w:szCs w:val="22"/>
              </w:rPr>
              <w:t xml:space="preserve">а, </w:t>
            </w:r>
            <w:proofErr w:type="spellStart"/>
            <w:r w:rsidR="00800E05">
              <w:rPr>
                <w:rFonts w:eastAsia="Calibri"/>
                <w:sz w:val="22"/>
                <w:szCs w:val="22"/>
              </w:rPr>
              <w:t>г.о</w:t>
            </w:r>
            <w:proofErr w:type="spellEnd"/>
            <w:r w:rsidR="00800E05">
              <w:rPr>
                <w:rFonts w:eastAsia="Calibri"/>
                <w:sz w:val="22"/>
                <w:szCs w:val="22"/>
              </w:rPr>
              <w:t xml:space="preserve">. Нальчик ул. </w:t>
            </w:r>
            <w:proofErr w:type="spellStart"/>
            <w:r w:rsidR="00800E05">
              <w:rPr>
                <w:rFonts w:eastAsia="Calibri"/>
                <w:sz w:val="22"/>
                <w:szCs w:val="22"/>
              </w:rPr>
              <w:t>Мальбахова</w:t>
            </w:r>
            <w:proofErr w:type="spellEnd"/>
            <w:r w:rsidR="00800E05">
              <w:rPr>
                <w:rFonts w:eastAsia="Calibri"/>
                <w:sz w:val="22"/>
                <w:szCs w:val="22"/>
              </w:rPr>
              <w:t>, 64</w:t>
            </w:r>
          </w:p>
        </w:tc>
        <w:tc>
          <w:tcPr>
            <w:tcW w:w="2126" w:type="dxa"/>
            <w:tcBorders>
              <w:top w:val="single" w:sz="4" w:space="0" w:color="auto"/>
            </w:tcBorders>
            <w:shd w:val="clear" w:color="auto" w:fill="auto"/>
            <w:vAlign w:val="center"/>
          </w:tcPr>
          <w:p w:rsidR="00F401B9" w:rsidRPr="00A86C52" w:rsidRDefault="00800E05"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6 244 339</w:t>
            </w:r>
            <w:r w:rsidR="00F9667A">
              <w:rPr>
                <w:rFonts w:eastAsia="Calibri"/>
                <w:bCs/>
                <w:kern w:val="1"/>
                <w:sz w:val="22"/>
                <w:szCs w:val="22"/>
                <w:lang w:eastAsia="ar-SA"/>
              </w:rPr>
              <w:t>,00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800E05"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14 137 813</w:t>
            </w:r>
            <w:r w:rsidR="00A11A73">
              <w:rPr>
                <w:rFonts w:eastAsia="Calibri"/>
                <w:b/>
                <w:bCs/>
                <w:kern w:val="1"/>
                <w:sz w:val="22"/>
                <w:szCs w:val="22"/>
                <w:lang w:eastAsia="ar-SA"/>
              </w:rPr>
              <w:t xml:space="preserve"> </w:t>
            </w:r>
            <w:r w:rsidR="00F9667A">
              <w:rPr>
                <w:rFonts w:eastAsia="Calibri"/>
                <w:b/>
                <w:bCs/>
                <w:kern w:val="1"/>
                <w:sz w:val="22"/>
                <w:szCs w:val="22"/>
                <w:lang w:eastAsia="ar-SA"/>
              </w:rPr>
              <w:t>,00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800E05"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800E05" w:rsidRDefault="00800E05" w:rsidP="00800E05">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800E05" w:rsidRDefault="00800E05" w:rsidP="00800E05">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800E05" w:rsidRPr="00A86C52" w:rsidRDefault="00800E05" w:rsidP="00800E05">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Мальбахова</w:t>
            </w:r>
            <w:proofErr w:type="spellEnd"/>
            <w:r>
              <w:rPr>
                <w:rFonts w:eastAsia="Calibri"/>
                <w:sz w:val="22"/>
                <w:szCs w:val="22"/>
              </w:rPr>
              <w:t>, 62</w:t>
            </w:r>
          </w:p>
        </w:tc>
        <w:tc>
          <w:tcPr>
            <w:tcW w:w="1559" w:type="dxa"/>
            <w:tcBorders>
              <w:top w:val="single" w:sz="4" w:space="0" w:color="auto"/>
              <w:left w:val="single" w:sz="4" w:space="0" w:color="auto"/>
              <w:bottom w:val="single" w:sz="4" w:space="0" w:color="auto"/>
              <w:right w:val="single" w:sz="4" w:space="0" w:color="auto"/>
            </w:tcBorders>
            <w:vAlign w:val="center"/>
          </w:tcPr>
          <w:p w:rsidR="00800E05" w:rsidRPr="00A86C52" w:rsidRDefault="00800E05" w:rsidP="00800E05">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7 893 474,00</w:t>
            </w:r>
          </w:p>
        </w:tc>
        <w:tc>
          <w:tcPr>
            <w:tcW w:w="1560" w:type="dxa"/>
            <w:tcBorders>
              <w:top w:val="single" w:sz="4" w:space="0" w:color="auto"/>
              <w:left w:val="single" w:sz="4" w:space="0" w:color="auto"/>
              <w:bottom w:val="single" w:sz="4" w:space="0" w:color="auto"/>
              <w:right w:val="single" w:sz="4" w:space="0" w:color="auto"/>
            </w:tcBorders>
            <w:vAlign w:val="center"/>
          </w:tcPr>
          <w:p w:rsidR="00800E05" w:rsidRDefault="00800E05" w:rsidP="00800E05">
            <w:pPr>
              <w:spacing w:before="100" w:beforeAutospacing="1" w:after="100" w:afterAutospacing="1"/>
              <w:contextualSpacing/>
              <w:jc w:val="center"/>
              <w:rPr>
                <w:sz w:val="22"/>
                <w:szCs w:val="22"/>
                <w:lang w:eastAsia="en-US"/>
              </w:rPr>
            </w:pPr>
            <w:r>
              <w:rPr>
                <w:sz w:val="22"/>
                <w:szCs w:val="22"/>
                <w:lang w:eastAsia="en-US"/>
              </w:rPr>
              <w:t>1 315 579,00</w:t>
            </w:r>
          </w:p>
        </w:tc>
        <w:tc>
          <w:tcPr>
            <w:tcW w:w="992" w:type="dxa"/>
            <w:tcBorders>
              <w:top w:val="single" w:sz="4" w:space="0" w:color="auto"/>
              <w:left w:val="single" w:sz="4" w:space="0" w:color="auto"/>
              <w:bottom w:val="single" w:sz="4" w:space="0" w:color="auto"/>
              <w:right w:val="single" w:sz="4" w:space="0" w:color="auto"/>
            </w:tcBorders>
          </w:tcPr>
          <w:p w:rsidR="00800E05" w:rsidRDefault="00800E05" w:rsidP="00800E05">
            <w:pPr>
              <w:spacing w:before="100" w:beforeAutospacing="1" w:after="100" w:afterAutospacing="1"/>
              <w:contextualSpacing/>
              <w:jc w:val="center"/>
              <w:rPr>
                <w:sz w:val="22"/>
                <w:szCs w:val="22"/>
                <w:lang w:eastAsia="en-US"/>
              </w:rPr>
            </w:pPr>
            <w:r>
              <w:rPr>
                <w:sz w:val="22"/>
                <w:szCs w:val="22"/>
                <w:lang w:eastAsia="en-US"/>
              </w:rPr>
              <w:t>48</w:t>
            </w:r>
          </w:p>
        </w:tc>
      </w:tr>
      <w:tr w:rsidR="00800E05"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800E05" w:rsidRDefault="00800E05" w:rsidP="00800E05">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800E05" w:rsidRDefault="00800E05" w:rsidP="00800E05">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800E05" w:rsidRPr="00A86C52" w:rsidRDefault="00800E05" w:rsidP="00800E05">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Мальбахова</w:t>
            </w:r>
            <w:proofErr w:type="spellEnd"/>
            <w:r>
              <w:rPr>
                <w:rFonts w:eastAsia="Calibri"/>
                <w:sz w:val="22"/>
                <w:szCs w:val="22"/>
              </w:rPr>
              <w:t>, 64</w:t>
            </w:r>
          </w:p>
        </w:tc>
        <w:tc>
          <w:tcPr>
            <w:tcW w:w="1559" w:type="dxa"/>
            <w:tcBorders>
              <w:top w:val="single" w:sz="4" w:space="0" w:color="auto"/>
              <w:left w:val="single" w:sz="4" w:space="0" w:color="auto"/>
              <w:bottom w:val="single" w:sz="4" w:space="0" w:color="auto"/>
              <w:right w:val="single" w:sz="4" w:space="0" w:color="auto"/>
            </w:tcBorders>
            <w:vAlign w:val="center"/>
          </w:tcPr>
          <w:p w:rsidR="00800E05" w:rsidRPr="00A86C52" w:rsidRDefault="00800E05" w:rsidP="00800E05">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6 244 339,00</w:t>
            </w:r>
          </w:p>
        </w:tc>
        <w:tc>
          <w:tcPr>
            <w:tcW w:w="1560" w:type="dxa"/>
            <w:tcBorders>
              <w:top w:val="single" w:sz="4" w:space="0" w:color="auto"/>
              <w:left w:val="single" w:sz="4" w:space="0" w:color="auto"/>
              <w:bottom w:val="single" w:sz="4" w:space="0" w:color="auto"/>
              <w:right w:val="single" w:sz="4" w:space="0" w:color="auto"/>
            </w:tcBorders>
            <w:vAlign w:val="center"/>
          </w:tcPr>
          <w:p w:rsidR="00800E05" w:rsidRDefault="00800E05" w:rsidP="00800E05">
            <w:pPr>
              <w:spacing w:before="100" w:beforeAutospacing="1" w:after="100" w:afterAutospacing="1"/>
              <w:contextualSpacing/>
              <w:jc w:val="center"/>
              <w:rPr>
                <w:sz w:val="22"/>
                <w:szCs w:val="22"/>
                <w:lang w:eastAsia="en-US"/>
              </w:rPr>
            </w:pPr>
            <w:r>
              <w:rPr>
                <w:sz w:val="22"/>
                <w:szCs w:val="22"/>
                <w:lang w:eastAsia="en-US"/>
              </w:rPr>
              <w:t>1 040 723,20</w:t>
            </w:r>
          </w:p>
        </w:tc>
        <w:tc>
          <w:tcPr>
            <w:tcW w:w="992" w:type="dxa"/>
            <w:tcBorders>
              <w:top w:val="single" w:sz="4" w:space="0" w:color="auto"/>
              <w:left w:val="single" w:sz="4" w:space="0" w:color="auto"/>
              <w:bottom w:val="single" w:sz="4" w:space="0" w:color="auto"/>
              <w:right w:val="single" w:sz="4" w:space="0" w:color="auto"/>
            </w:tcBorders>
          </w:tcPr>
          <w:p w:rsidR="00800E05" w:rsidRDefault="00800E05" w:rsidP="00800E05">
            <w:pPr>
              <w:spacing w:before="100" w:beforeAutospacing="1" w:after="100" w:afterAutospacing="1"/>
              <w:contextualSpacing/>
              <w:jc w:val="center"/>
              <w:rPr>
                <w:sz w:val="22"/>
                <w:szCs w:val="22"/>
                <w:lang w:eastAsia="en-US"/>
              </w:rPr>
            </w:pPr>
            <w:r>
              <w:rPr>
                <w:sz w:val="22"/>
                <w:szCs w:val="22"/>
                <w:lang w:eastAsia="en-US"/>
              </w:rPr>
              <w:t>69</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800E05" w:rsidP="006509B3">
            <w:pPr>
              <w:spacing w:before="100" w:beforeAutospacing="1" w:after="100" w:afterAutospacing="1"/>
              <w:contextualSpacing/>
              <w:jc w:val="center"/>
              <w:rPr>
                <w:sz w:val="22"/>
                <w:szCs w:val="22"/>
                <w:lang w:eastAsia="en-US"/>
              </w:rPr>
            </w:pPr>
            <w:r>
              <w:rPr>
                <w:rFonts w:eastAsia="Calibri"/>
                <w:b/>
                <w:bCs/>
                <w:kern w:val="1"/>
                <w:sz w:val="22"/>
                <w:szCs w:val="22"/>
                <w:lang w:eastAsia="ar-SA"/>
              </w:rPr>
              <w:t>14 137 813 ,00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800E05" w:rsidP="006509B3">
            <w:pPr>
              <w:spacing w:before="100" w:beforeAutospacing="1" w:after="100" w:afterAutospacing="1"/>
              <w:contextualSpacing/>
              <w:jc w:val="center"/>
              <w:rPr>
                <w:sz w:val="22"/>
                <w:szCs w:val="22"/>
                <w:lang w:eastAsia="en-US"/>
              </w:rPr>
            </w:pPr>
            <w:r>
              <w:rPr>
                <w:sz w:val="22"/>
                <w:szCs w:val="22"/>
                <w:lang w:eastAsia="en-US"/>
              </w:rPr>
              <w:t>117</w:t>
            </w:r>
            <w:bookmarkStart w:id="0" w:name="_GoBack"/>
            <w:bookmarkEnd w:id="0"/>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lastRenderedPageBreak/>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proofErr w:type="gramStart"/>
      <w:r w:rsidR="00210EA6" w:rsidRPr="00A86C52">
        <w:rPr>
          <w:i/>
          <w:snapToGrid w:val="0"/>
          <w:color w:val="000000"/>
          <w:sz w:val="22"/>
          <w:szCs w:val="22"/>
        </w:rPr>
        <w:t xml:space="preserve"> </w:t>
      </w:r>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proofErr w:type="gramStart"/>
      <w:r>
        <w:rPr>
          <w:i/>
          <w:snapToGrid w:val="0"/>
          <w:color w:val="000000"/>
          <w:sz w:val="22"/>
          <w:szCs w:val="22"/>
        </w:rPr>
        <w:t xml:space="preserve">   (</w:t>
      </w:r>
      <w:proofErr w:type="gramEnd"/>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proofErr w:type="gramStart"/>
      <w:r w:rsidR="00AE607E" w:rsidRPr="00A86C52">
        <w:rPr>
          <w:i/>
          <w:snapToGrid w:val="0"/>
          <w:color w:val="000000" w:themeColor="text1"/>
          <w:sz w:val="22"/>
          <w:szCs w:val="22"/>
        </w:rPr>
        <w:t xml:space="preserve">   </w:t>
      </w:r>
      <w:r w:rsidRPr="00A86C52">
        <w:rPr>
          <w:i/>
          <w:snapToGrid w:val="0"/>
          <w:color w:val="000000" w:themeColor="text1"/>
          <w:sz w:val="22"/>
          <w:szCs w:val="22"/>
        </w:rPr>
        <w:t>(</w:t>
      </w:r>
      <w:proofErr w:type="gramEnd"/>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lastRenderedPageBreak/>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A16" w:rsidRDefault="00672A16">
      <w:pPr>
        <w:spacing w:after="0"/>
      </w:pPr>
      <w:r>
        <w:separator/>
      </w:r>
    </w:p>
  </w:endnote>
  <w:endnote w:type="continuationSeparator" w:id="0">
    <w:p w:rsidR="00672A16" w:rsidRDefault="00672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05" w:rsidRDefault="00800E0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05" w:rsidRPr="001D507D" w:rsidRDefault="00800E05"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95985">
          <w:rPr>
            <w:b/>
            <w:noProof/>
            <w:sz w:val="22"/>
          </w:rPr>
          <w:t>27</w:t>
        </w:r>
        <w:r w:rsidRPr="001D507D">
          <w:rPr>
            <w:b/>
            <w:sz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05" w:rsidRDefault="00800E0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A16" w:rsidRDefault="00672A16">
      <w:pPr>
        <w:spacing w:after="0"/>
      </w:pPr>
      <w:r>
        <w:separator/>
      </w:r>
    </w:p>
  </w:footnote>
  <w:footnote w:type="continuationSeparator" w:id="0">
    <w:p w:rsidR="00672A16" w:rsidRDefault="00672A16">
      <w:pPr>
        <w:spacing w:after="0"/>
      </w:pPr>
      <w:r>
        <w:continuationSeparator/>
      </w:r>
    </w:p>
  </w:footnote>
  <w:footnote w:id="1">
    <w:p w:rsidR="00800E05" w:rsidRDefault="00800E05"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05" w:rsidRDefault="00800E0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05" w:rsidRDefault="00800E0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05" w:rsidRDefault="00800E0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32F1"/>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2A16"/>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0E05"/>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95985"/>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570EF"/>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1BC6-BFBC-4B23-9C6C-794DB1F5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40</Pages>
  <Words>16501</Words>
  <Characters>94062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User</cp:lastModifiedBy>
  <cp:revision>29</cp:revision>
  <cp:lastPrinted>2021-03-31T06:37:00Z</cp:lastPrinted>
  <dcterms:created xsi:type="dcterms:W3CDTF">2021-03-30T15:16:00Z</dcterms:created>
  <dcterms:modified xsi:type="dcterms:W3CDTF">2021-05-17T13:59:00Z</dcterms:modified>
</cp:coreProperties>
</file>