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777339">
      <w:pPr>
        <w:pStyle w:val="a"/>
        <w:numPr>
          <w:ilvl w:val="0"/>
          <w:numId w:val="24"/>
        </w:numPr>
        <w:spacing w:before="100" w:beforeAutospacing="1" w:after="100" w:afterAutospacing="1"/>
        <w:ind w:left="1134"/>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7221AC">
        <w:rPr>
          <w:rFonts w:ascii="Times New Roman" w:eastAsia="Calibri" w:hAnsi="Times New Roman" w:cs="Times New Roman"/>
        </w:rPr>
        <w:t>г.о. Прохладный</w:t>
      </w:r>
      <w:r w:rsidR="00D62655">
        <w:rPr>
          <w:rFonts w:ascii="Times New Roman" w:eastAsia="Calibri" w:hAnsi="Times New Roman" w:cs="Times New Roman"/>
        </w:rPr>
        <w:t xml:space="preserve"> </w:t>
      </w:r>
      <w:r w:rsidR="00777339">
        <w:rPr>
          <w:rFonts w:ascii="Times New Roman" w:eastAsia="Calibri" w:hAnsi="Times New Roman" w:cs="Times New Roman"/>
        </w:rPr>
        <w:t>ул. Красноармейская, 114</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sidRPr="00EA4488">
        <w:rPr>
          <w:rFonts w:ascii="Times New Roman" w:hAnsi="Times New Roman" w:cs="Times New Roman"/>
          <w:b/>
        </w:rPr>
        <w:t>12</w:t>
      </w:r>
      <w:r w:rsidR="00413CE4" w:rsidRPr="00EA4488">
        <w:rPr>
          <w:rFonts w:ascii="Times New Roman" w:hAnsi="Times New Roman" w:cs="Times New Roman"/>
          <w:b/>
        </w:rPr>
        <w:t>0</w:t>
      </w:r>
      <w:r w:rsidR="00C81DA1" w:rsidRPr="00EA4488">
        <w:rPr>
          <w:rFonts w:ascii="Times New Roman" w:hAnsi="Times New Roman" w:cs="Times New Roman"/>
          <w:b/>
        </w:rPr>
        <w:t xml:space="preserve"> (сто двадцать)</w:t>
      </w:r>
      <w:r w:rsidR="00413CE4" w:rsidRPr="00EA4488">
        <w:rPr>
          <w:rFonts w:ascii="Times New Roman" w:hAnsi="Times New Roman" w:cs="Times New Roman"/>
          <w:b/>
        </w:rPr>
        <w:t xml:space="preserve"> </w:t>
      </w:r>
      <w:r w:rsidR="00CB5895" w:rsidRPr="00EA4488">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4488" w:rsidRPr="00D763D5" w:rsidRDefault="00EA4488" w:rsidP="00EA4488">
            <w:pPr>
              <w:spacing w:before="100" w:beforeAutospacing="1" w:after="100" w:afterAutospacing="1"/>
              <w:ind w:left="33"/>
              <w:contextualSpacing/>
              <w:rPr>
                <w:b/>
                <w:sz w:val="22"/>
                <w:szCs w:val="22"/>
                <w:lang w:eastAsia="en-US"/>
              </w:rPr>
            </w:pPr>
            <w:r w:rsidRPr="00D763D5">
              <w:rPr>
                <w:b/>
                <w:sz w:val="22"/>
                <w:szCs w:val="22"/>
                <w:lang w:eastAsia="en-US"/>
              </w:rPr>
              <w:t xml:space="preserve">Банковские реквизиты: </w:t>
            </w:r>
          </w:p>
          <w:p w:rsidR="00EA4488" w:rsidRPr="00D763D5" w:rsidRDefault="00EA4488" w:rsidP="00EA4488">
            <w:pPr>
              <w:spacing w:before="100" w:beforeAutospacing="1" w:after="100" w:afterAutospacing="1"/>
              <w:ind w:left="33"/>
              <w:contextualSpacing/>
              <w:rPr>
                <w:sz w:val="22"/>
                <w:szCs w:val="22"/>
                <w:lang w:eastAsia="en-US"/>
              </w:rPr>
            </w:pPr>
            <w:r w:rsidRPr="00D763D5">
              <w:rPr>
                <w:sz w:val="22"/>
                <w:szCs w:val="22"/>
                <w:lang w:eastAsia="en-US"/>
              </w:rPr>
              <w:t>Р/с 40603810210090000633</w:t>
            </w:r>
          </w:p>
          <w:p w:rsidR="00EA4488" w:rsidRPr="00D763D5" w:rsidRDefault="00EA4488" w:rsidP="00EA4488">
            <w:pPr>
              <w:spacing w:before="100" w:beforeAutospacing="1" w:after="100" w:afterAutospacing="1"/>
              <w:ind w:left="33"/>
              <w:contextualSpacing/>
              <w:rPr>
                <w:sz w:val="22"/>
                <w:szCs w:val="22"/>
                <w:lang w:eastAsia="en-US"/>
              </w:rPr>
            </w:pPr>
            <w:r w:rsidRPr="00D763D5">
              <w:rPr>
                <w:sz w:val="22"/>
                <w:szCs w:val="22"/>
                <w:lang w:eastAsia="en-US"/>
              </w:rPr>
              <w:t>Филиал «Центральный» Банка ВТБ (ПАО) в г. Москве</w:t>
            </w:r>
          </w:p>
          <w:p w:rsidR="00EA4488" w:rsidRPr="00D763D5" w:rsidRDefault="00EA4488" w:rsidP="00EA4488">
            <w:pPr>
              <w:spacing w:before="100" w:beforeAutospacing="1" w:after="100" w:afterAutospacing="1"/>
              <w:ind w:left="33"/>
              <w:contextualSpacing/>
              <w:rPr>
                <w:sz w:val="22"/>
                <w:szCs w:val="22"/>
                <w:lang w:eastAsia="en-US"/>
              </w:rPr>
            </w:pPr>
            <w:r w:rsidRPr="00D763D5">
              <w:rPr>
                <w:sz w:val="22"/>
                <w:szCs w:val="22"/>
                <w:lang w:eastAsia="en-US"/>
              </w:rPr>
              <w:t>к/с 30101810145250000411</w:t>
            </w:r>
          </w:p>
          <w:p w:rsidR="00F4231F" w:rsidRPr="00A86C52" w:rsidRDefault="00EA4488" w:rsidP="00EA4488">
            <w:pPr>
              <w:spacing w:before="100" w:beforeAutospacing="1" w:after="100" w:afterAutospacing="1"/>
              <w:contextualSpacing/>
              <w:rPr>
                <w:sz w:val="22"/>
                <w:szCs w:val="22"/>
                <w:lang w:eastAsia="en-US"/>
              </w:rPr>
            </w:pPr>
            <w:r w:rsidRPr="00D763D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777339" w:rsidP="00C5331E">
            <w:pPr>
              <w:tabs>
                <w:tab w:val="left" w:pos="622"/>
              </w:tabs>
              <w:autoSpaceDE w:val="0"/>
              <w:autoSpaceDN w:val="0"/>
              <w:adjustRightInd w:val="0"/>
              <w:ind w:left="33" w:right="-2"/>
              <w:rPr>
                <w:b/>
                <w:u w:val="single"/>
              </w:rPr>
            </w:pPr>
            <w:r>
              <w:rPr>
                <w:b/>
                <w:u w:val="single"/>
              </w:rPr>
              <w:t xml:space="preserve">  г.о. Прохладный ул. Красноармейская, д. 114</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777339">
              <w:t xml:space="preserve"> - 1995</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777339" w:rsidP="00C5331E">
            <w:pPr>
              <w:tabs>
                <w:tab w:val="left" w:pos="622"/>
              </w:tabs>
              <w:autoSpaceDE w:val="0"/>
              <w:autoSpaceDN w:val="0"/>
              <w:adjustRightInd w:val="0"/>
              <w:ind w:left="33" w:right="-2"/>
            </w:pPr>
            <w:r>
              <w:t>Количество подъездов - 6</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777339">
              <w:t>панельный</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777339">
              <w:rPr>
                <w:rFonts w:eastAsia="Calibri"/>
                <w:sz w:val="22"/>
                <w:szCs w:val="22"/>
              </w:rPr>
              <w:t>г.о. Прохладный ул. Красноармейская, 114</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777339"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7 108 294,80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777339" w:rsidRDefault="00777339"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77339">
              <w:rPr>
                <w:rFonts w:eastAsia="Calibri"/>
                <w:b/>
                <w:bCs/>
                <w:sz w:val="22"/>
                <w:szCs w:val="22"/>
                <w:lang w:eastAsia="en-US"/>
              </w:rPr>
              <w:t>7 108 294,80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777339" w:rsidP="00D70DAD">
            <w:pPr>
              <w:spacing w:before="100" w:beforeAutospacing="1" w:after="100" w:afterAutospacing="1"/>
              <w:contextualSpacing/>
              <w:jc w:val="left"/>
              <w:rPr>
                <w:rFonts w:eastAsia="Calibri"/>
                <w:sz w:val="22"/>
                <w:szCs w:val="22"/>
              </w:rPr>
            </w:pPr>
            <w:r>
              <w:rPr>
                <w:rFonts w:eastAsia="Calibri"/>
                <w:sz w:val="22"/>
                <w:szCs w:val="22"/>
              </w:rPr>
              <w:t>г.о. Прохладный ул. Красноармейская, 114</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777339"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7 108 294,80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7221AC" w:rsidP="00D70DAD">
            <w:pPr>
              <w:spacing w:before="100" w:beforeAutospacing="1" w:after="100" w:afterAutospacing="1"/>
              <w:contextualSpacing/>
              <w:jc w:val="center"/>
              <w:rPr>
                <w:sz w:val="22"/>
                <w:szCs w:val="22"/>
                <w:lang w:eastAsia="en-US"/>
              </w:rPr>
            </w:pPr>
            <w:r>
              <w:rPr>
                <w:sz w:val="22"/>
                <w:szCs w:val="22"/>
                <w:lang w:eastAsia="en-US"/>
              </w:rPr>
              <w:t>18</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Pr="007221AC" w:rsidRDefault="00777339" w:rsidP="006509B3">
            <w:pPr>
              <w:spacing w:before="100" w:beforeAutospacing="1" w:after="100" w:afterAutospacing="1"/>
              <w:contextualSpacing/>
              <w:jc w:val="center"/>
              <w:rPr>
                <w:b/>
                <w:sz w:val="22"/>
                <w:szCs w:val="22"/>
                <w:lang w:eastAsia="en-US"/>
              </w:rPr>
            </w:pPr>
            <w:r w:rsidRPr="00777339">
              <w:rPr>
                <w:rFonts w:eastAsia="Calibri"/>
                <w:b/>
                <w:bCs/>
                <w:sz w:val="22"/>
                <w:szCs w:val="22"/>
                <w:lang w:eastAsia="en-US"/>
              </w:rPr>
              <w:t>7 108 294,80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7221AC" w:rsidP="006509B3">
            <w:pPr>
              <w:spacing w:before="100" w:beforeAutospacing="1" w:after="100" w:afterAutospacing="1"/>
              <w:contextualSpacing/>
              <w:jc w:val="center"/>
              <w:rPr>
                <w:sz w:val="22"/>
                <w:szCs w:val="22"/>
                <w:lang w:eastAsia="en-US"/>
              </w:rPr>
            </w:pPr>
            <w:r>
              <w:rPr>
                <w:sz w:val="22"/>
                <w:szCs w:val="22"/>
                <w:lang w:eastAsia="en-US"/>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A4488" w:rsidRDefault="00EA4488" w:rsidP="00391612">
      <w:pPr>
        <w:tabs>
          <w:tab w:val="left" w:pos="3420"/>
        </w:tabs>
        <w:spacing w:before="100" w:beforeAutospacing="1" w:after="100" w:afterAutospacing="1"/>
        <w:contextualSpacing/>
        <w:rPr>
          <w:b/>
          <w:sz w:val="22"/>
          <w:szCs w:val="22"/>
          <w:u w:val="single"/>
        </w:rPr>
      </w:pPr>
    </w:p>
    <w:p w:rsidR="00E2206D" w:rsidRDefault="00777339" w:rsidP="00777339">
      <w:pPr>
        <w:pStyle w:val="1"/>
        <w:spacing w:before="100" w:beforeAutospacing="1" w:after="100" w:afterAutospacing="1"/>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00E2206D">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EA4488" w:rsidRDefault="00EC27B8" w:rsidP="00EA4488">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EA4488"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EA4488"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EA4488"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EA4488"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131CC9" w:rsidRDefault="00131CC9" w:rsidP="00EA4488">
      <w:pPr>
        <w:pStyle w:val="1"/>
        <w:spacing w:before="100" w:beforeAutospacing="1" w:after="100" w:afterAutospacing="1"/>
        <w:contextualSpacing/>
        <w:rPr>
          <w:rFonts w:ascii="Times New Roman" w:hAnsi="Times New Roman" w:cs="Times New Roman"/>
          <w:color w:val="auto"/>
          <w:sz w:val="22"/>
          <w:szCs w:val="22"/>
        </w:rPr>
      </w:pPr>
      <w:bookmarkStart w:id="0" w:name="_GoBack"/>
      <w:bookmarkEnd w:id="0"/>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00" w:rsidRDefault="008C1200">
      <w:pPr>
        <w:spacing w:after="0"/>
      </w:pPr>
      <w:r>
        <w:separator/>
      </w:r>
    </w:p>
  </w:endnote>
  <w:endnote w:type="continuationSeparator" w:id="0">
    <w:p w:rsidR="008C1200" w:rsidRDefault="008C1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Default="007773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Pr="001D507D" w:rsidRDefault="0077733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A4488">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Default="007773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00" w:rsidRDefault="008C1200">
      <w:pPr>
        <w:spacing w:after="0"/>
      </w:pPr>
      <w:r>
        <w:separator/>
      </w:r>
    </w:p>
  </w:footnote>
  <w:footnote w:type="continuationSeparator" w:id="0">
    <w:p w:rsidR="008C1200" w:rsidRDefault="008C1200">
      <w:pPr>
        <w:spacing w:after="0"/>
      </w:pPr>
      <w:r>
        <w:continuationSeparator/>
      </w:r>
    </w:p>
  </w:footnote>
  <w:footnote w:id="1">
    <w:p w:rsidR="00777339" w:rsidRDefault="0077733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Default="007773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Default="0077733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39" w:rsidRDefault="007773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63E"/>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1AC"/>
    <w:rsid w:val="007420F4"/>
    <w:rsid w:val="00746CF7"/>
    <w:rsid w:val="0076284D"/>
    <w:rsid w:val="007672EF"/>
    <w:rsid w:val="00767441"/>
    <w:rsid w:val="00770AA6"/>
    <w:rsid w:val="00776CFB"/>
    <w:rsid w:val="00777339"/>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200"/>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52298"/>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4488"/>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6F10-263A-4A80-A837-7BE7BAF9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16448</Words>
  <Characters>93757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2021-06-30T13:06:00Z</dcterms:created>
  <dcterms:modified xsi:type="dcterms:W3CDTF">2021-06-30T13:06:00Z</dcterms:modified>
</cp:coreProperties>
</file>