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696E3F">
        <w:rPr>
          <w:b/>
          <w:bCs/>
          <w:szCs w:val="24"/>
        </w:rPr>
        <w:t>05</w:t>
      </w:r>
      <w:r w:rsidRPr="00767BDD">
        <w:rPr>
          <w:b/>
          <w:bCs/>
          <w:szCs w:val="24"/>
        </w:rPr>
        <w:t xml:space="preserve">» </w:t>
      </w:r>
      <w:r w:rsidR="008257D0">
        <w:rPr>
          <w:b/>
          <w:bCs/>
          <w:szCs w:val="24"/>
        </w:rPr>
        <w:t>июл</w:t>
      </w:r>
      <w:r w:rsidR="00A45A91">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993C06">
        <w:rPr>
          <w:b/>
          <w:szCs w:val="24"/>
        </w:rPr>
        <w:t>33</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5A91">
            <w:pPr>
              <w:widowControl w:val="0"/>
              <w:autoSpaceDE w:val="0"/>
              <w:autoSpaceDN w:val="0"/>
              <w:adjustRightInd w:val="0"/>
              <w:jc w:val="both"/>
              <w:rPr>
                <w:szCs w:val="24"/>
              </w:rPr>
            </w:pPr>
            <w:r w:rsidRPr="00767BDD">
              <w:rPr>
                <w:b/>
                <w:szCs w:val="24"/>
              </w:rPr>
              <w:t>№</w:t>
            </w:r>
            <w:r w:rsidRPr="00767BDD">
              <w:rPr>
                <w:szCs w:val="24"/>
              </w:rPr>
              <w:t xml:space="preserve"> </w:t>
            </w:r>
            <w:r w:rsidR="00993C06">
              <w:rPr>
                <w:b/>
                <w:szCs w:val="24"/>
              </w:rPr>
              <w:t>33</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696E3F">
              <w:rPr>
                <w:b/>
              </w:rPr>
              <w:t>06</w:t>
            </w:r>
            <w:r w:rsidR="003B29E3" w:rsidRPr="00536D95">
              <w:rPr>
                <w:b/>
              </w:rPr>
              <w:t xml:space="preserve">» </w:t>
            </w:r>
            <w:r w:rsidR="00D61892">
              <w:rPr>
                <w:b/>
              </w:rPr>
              <w:t>июл</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D61892">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696E3F">
              <w:rPr>
                <w:b/>
                <w:szCs w:val="24"/>
              </w:rPr>
              <w:t>26</w:t>
            </w:r>
            <w:r w:rsidR="006871FA" w:rsidRPr="00536D95">
              <w:rPr>
                <w:b/>
                <w:szCs w:val="24"/>
              </w:rPr>
              <w:t xml:space="preserve">» </w:t>
            </w:r>
            <w:r w:rsidR="00A45A91">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D6189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696E3F">
              <w:rPr>
                <w:szCs w:val="24"/>
              </w:rPr>
              <w:t>07</w:t>
            </w:r>
            <w:r w:rsidRPr="00536D95">
              <w:rPr>
                <w:szCs w:val="24"/>
              </w:rPr>
              <w:t xml:space="preserve">» </w:t>
            </w:r>
            <w:r w:rsidR="00D61892">
              <w:rPr>
                <w:szCs w:val="24"/>
              </w:rPr>
              <w:t>июл</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696E3F">
              <w:rPr>
                <w:szCs w:val="24"/>
              </w:rPr>
              <w:t>22</w:t>
            </w:r>
            <w:r w:rsidR="00716A76" w:rsidRPr="00536D95">
              <w:rPr>
                <w:szCs w:val="24"/>
              </w:rPr>
              <w:t xml:space="preserve">» </w:t>
            </w:r>
            <w:r w:rsidR="00A45A91">
              <w:rPr>
                <w:szCs w:val="24"/>
              </w:rPr>
              <w:t>июл</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D61892">
            <w:pPr>
              <w:jc w:val="both"/>
              <w:rPr>
                <w:b/>
                <w:szCs w:val="24"/>
              </w:rPr>
            </w:pPr>
            <w:r w:rsidRPr="00536D95">
              <w:rPr>
                <w:b/>
                <w:szCs w:val="24"/>
              </w:rPr>
              <w:lastRenderedPageBreak/>
              <w:t>«</w:t>
            </w:r>
            <w:r w:rsidR="00696E3F">
              <w:rPr>
                <w:b/>
                <w:szCs w:val="24"/>
              </w:rPr>
              <w:t>26</w:t>
            </w:r>
            <w:r w:rsidRPr="00536D95">
              <w:rPr>
                <w:b/>
                <w:szCs w:val="24"/>
              </w:rPr>
              <w:t xml:space="preserve">» </w:t>
            </w:r>
            <w:r w:rsidR="00A45A91">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696E3F">
              <w:rPr>
                <w:rFonts w:eastAsia="Calibri"/>
                <w:b/>
                <w:bCs/>
                <w:szCs w:val="24"/>
                <w:lang w:eastAsia="en-US"/>
              </w:rPr>
              <w:t>29</w:t>
            </w:r>
            <w:r w:rsidRPr="00536D95">
              <w:rPr>
                <w:rFonts w:eastAsia="Calibri"/>
                <w:b/>
                <w:bCs/>
                <w:szCs w:val="24"/>
                <w:lang w:eastAsia="en-US"/>
              </w:rPr>
              <w:t xml:space="preserve">» </w:t>
            </w:r>
            <w:r w:rsidR="00EE0CAD">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0B5B51">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993C06" w:rsidP="00993C06">
            <w:pPr>
              <w:jc w:val="both"/>
              <w:rPr>
                <w:szCs w:val="24"/>
              </w:rPr>
            </w:pPr>
            <w:r>
              <w:rPr>
                <w:b/>
                <w:bCs/>
                <w:szCs w:val="24"/>
              </w:rPr>
              <w:t>1 206 224,40</w:t>
            </w:r>
            <w:r w:rsidR="005A44C2" w:rsidRPr="00767BDD">
              <w:rPr>
                <w:bCs/>
                <w:szCs w:val="24"/>
              </w:rPr>
              <w:t xml:space="preserve"> (</w:t>
            </w:r>
            <w:r>
              <w:rPr>
                <w:bCs/>
                <w:szCs w:val="24"/>
              </w:rPr>
              <w:t>Один миллион двести шесть тысяч двести двадцать четыре рубля</w:t>
            </w:r>
            <w:r w:rsidR="00847A0C">
              <w:rPr>
                <w:bCs/>
                <w:szCs w:val="24"/>
              </w:rPr>
              <w:t>)</w:t>
            </w:r>
            <w:r w:rsidR="001A2C65" w:rsidRPr="00767BDD">
              <w:rPr>
                <w:bCs/>
                <w:szCs w:val="24"/>
              </w:rPr>
              <w:t xml:space="preserve"> </w:t>
            </w:r>
            <w:r>
              <w:rPr>
                <w:bCs/>
                <w:szCs w:val="24"/>
              </w:rPr>
              <w:t>4</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993C06">
              <w:rPr>
                <w:b/>
                <w:szCs w:val="24"/>
              </w:rPr>
              <w:t>12 062,24</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993C06">
              <w:rPr>
                <w:b/>
                <w:bCs/>
                <w:szCs w:val="24"/>
              </w:rPr>
              <w:t>96 497,95</w:t>
            </w:r>
            <w:r w:rsidR="00130D0D">
              <w:rPr>
                <w:bCs/>
                <w:szCs w:val="24"/>
              </w:rPr>
              <w:t xml:space="preserve"> </w:t>
            </w:r>
            <w:r w:rsidR="006238A5" w:rsidRPr="00767BDD">
              <w:rPr>
                <w:bCs/>
                <w:szCs w:val="24"/>
              </w:rPr>
              <w:t>(</w:t>
            </w:r>
            <w:r w:rsidR="00993C06">
              <w:rPr>
                <w:bCs/>
                <w:szCs w:val="24"/>
              </w:rPr>
              <w:t>Девяносто шесть тысяч четыреста девяносто семь</w:t>
            </w:r>
            <w:r w:rsidR="00AD1392">
              <w:rPr>
                <w:bCs/>
                <w:szCs w:val="24"/>
              </w:rPr>
              <w:t xml:space="preserve"> рублей</w:t>
            </w:r>
            <w:r w:rsidR="005069AD">
              <w:rPr>
                <w:bCs/>
                <w:szCs w:val="24"/>
              </w:rPr>
              <w:t xml:space="preserve">, </w:t>
            </w:r>
            <w:r w:rsidR="00993C06">
              <w:rPr>
                <w:bCs/>
                <w:szCs w:val="24"/>
              </w:rPr>
              <w:t>95</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w:t>
            </w:r>
            <w:bookmarkStart w:id="25" w:name="_GoBack"/>
            <w:bookmarkEnd w:id="25"/>
            <w:r w:rsidRPr="00767BDD">
              <w:rPr>
                <w:szCs w:val="24"/>
              </w:rPr>
              <w:t xml:space="preserve">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D0"/>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77132"/>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2FA"/>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6E3F"/>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AEF"/>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57D0"/>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007"/>
    <w:rsid w:val="008B380B"/>
    <w:rsid w:val="008B3EE5"/>
    <w:rsid w:val="008B4428"/>
    <w:rsid w:val="008B6CC9"/>
    <w:rsid w:val="008B79CD"/>
    <w:rsid w:val="008C244E"/>
    <w:rsid w:val="008C2D50"/>
    <w:rsid w:val="008C6E2D"/>
    <w:rsid w:val="008D00E8"/>
    <w:rsid w:val="008D0731"/>
    <w:rsid w:val="008D086D"/>
    <w:rsid w:val="008D1537"/>
    <w:rsid w:val="008D273C"/>
    <w:rsid w:val="008D3233"/>
    <w:rsid w:val="008D34C1"/>
    <w:rsid w:val="008D34D0"/>
    <w:rsid w:val="008D4013"/>
    <w:rsid w:val="008D48F0"/>
    <w:rsid w:val="008D5260"/>
    <w:rsid w:val="008D6439"/>
    <w:rsid w:val="008D6D9A"/>
    <w:rsid w:val="008D6F42"/>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058A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C06"/>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57FAF"/>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1392"/>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0AF1"/>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879D9"/>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139"/>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4727F"/>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6E4"/>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EB7DB-F789-42E5-BA68-8A4517AC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1070</TotalTime>
  <Pages>20</Pages>
  <Words>6866</Words>
  <Characters>49039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18</cp:revision>
  <cp:lastPrinted>2019-09-23T14:33:00Z</cp:lastPrinted>
  <dcterms:created xsi:type="dcterms:W3CDTF">2021-05-17T14:24:00Z</dcterms:created>
  <dcterms:modified xsi:type="dcterms:W3CDTF">2021-07-05T12:20:00Z</dcterms:modified>
</cp:coreProperties>
</file>